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E69" w:rsidRDefault="00AC2290" w:rsidP="00532E69">
      <w:pPr>
        <w:jc w:val="center"/>
        <w:rPr>
          <w:b/>
          <w:u w:val="single"/>
        </w:rPr>
      </w:pPr>
      <w:r>
        <w:rPr>
          <w:b/>
          <w:u w:val="single"/>
        </w:rPr>
        <w:t xml:space="preserve">For </w:t>
      </w:r>
      <w:r w:rsidR="00532E69" w:rsidRPr="00036D00">
        <w:rPr>
          <w:b/>
          <w:u w:val="single"/>
        </w:rPr>
        <w:t>Research Coordinators / Associates</w:t>
      </w:r>
    </w:p>
    <w:p w:rsidR="003B510B" w:rsidRPr="00036D00" w:rsidRDefault="008B34D8" w:rsidP="00AC2290">
      <w:pPr>
        <w:spacing w:line="240" w:lineRule="auto"/>
        <w:rPr>
          <w:rFonts w:asciiTheme="majorHAnsi" w:hAnsiTheme="majorHAnsi"/>
          <w:b/>
          <w:i/>
          <w:sz w:val="20"/>
        </w:rPr>
      </w:pPr>
      <w:r w:rsidRPr="00036D00">
        <w:rPr>
          <w:rFonts w:asciiTheme="majorHAnsi" w:hAnsiTheme="majorHAnsi"/>
          <w:b/>
          <w:i/>
          <w:sz w:val="20"/>
        </w:rPr>
        <w:t xml:space="preserve">Associate </w:t>
      </w:r>
      <w:r w:rsidR="00AB1996">
        <w:rPr>
          <w:rFonts w:asciiTheme="majorHAnsi" w:hAnsiTheme="majorHAnsi"/>
          <w:b/>
          <w:i/>
          <w:sz w:val="20"/>
        </w:rPr>
        <w:t>a</w:t>
      </w:r>
      <w:r w:rsidR="00BF608A">
        <w:rPr>
          <w:rFonts w:asciiTheme="majorHAnsi" w:hAnsiTheme="majorHAnsi"/>
          <w:b/>
          <w:i/>
          <w:sz w:val="20"/>
        </w:rPr>
        <w:t>n in</w:t>
      </w:r>
      <w:r w:rsidR="00AB1996">
        <w:rPr>
          <w:rFonts w:asciiTheme="majorHAnsi" w:hAnsiTheme="majorHAnsi"/>
          <w:b/>
          <w:i/>
          <w:sz w:val="20"/>
        </w:rPr>
        <w:t>patient to a research study:</w:t>
      </w:r>
    </w:p>
    <w:p w:rsidR="00AB1996" w:rsidRDefault="00AB1996" w:rsidP="008B34D8">
      <w:pPr>
        <w:pStyle w:val="ListParagraph"/>
        <w:numPr>
          <w:ilvl w:val="0"/>
          <w:numId w:val="2"/>
        </w:numPr>
        <w:rPr>
          <w:rFonts w:asciiTheme="majorHAnsi" w:hAnsiTheme="majorHAnsi"/>
          <w:sz w:val="20"/>
        </w:rPr>
      </w:pPr>
      <w:r>
        <w:rPr>
          <w:rFonts w:asciiTheme="majorHAnsi" w:hAnsiTheme="majorHAnsi"/>
          <w:sz w:val="20"/>
        </w:rPr>
        <w:t>Login with your user ID and password.</w:t>
      </w:r>
    </w:p>
    <w:p w:rsidR="00AB1996" w:rsidRDefault="00AB1996" w:rsidP="00AB1996">
      <w:pPr>
        <w:pStyle w:val="ListParagraph"/>
        <w:numPr>
          <w:ilvl w:val="1"/>
          <w:numId w:val="2"/>
        </w:numPr>
        <w:rPr>
          <w:rFonts w:asciiTheme="majorHAnsi" w:hAnsiTheme="majorHAnsi"/>
          <w:sz w:val="20"/>
        </w:rPr>
      </w:pPr>
      <w:r>
        <w:rPr>
          <w:rFonts w:asciiTheme="majorHAnsi" w:hAnsiTheme="majorHAnsi"/>
          <w:sz w:val="20"/>
        </w:rPr>
        <w:t>Department is always CORE-</w:t>
      </w:r>
      <w:proofErr w:type="spellStart"/>
      <w:r>
        <w:rPr>
          <w:rFonts w:asciiTheme="majorHAnsi" w:hAnsiTheme="majorHAnsi"/>
          <w:sz w:val="20"/>
        </w:rPr>
        <w:t>ctr</w:t>
      </w:r>
      <w:proofErr w:type="spellEnd"/>
      <w:r>
        <w:rPr>
          <w:rFonts w:asciiTheme="majorHAnsi" w:hAnsiTheme="majorHAnsi"/>
          <w:sz w:val="20"/>
        </w:rPr>
        <w:t xml:space="preserve"> for research excel (for </w:t>
      </w:r>
      <w:r>
        <w:rPr>
          <w:rFonts w:asciiTheme="majorHAnsi" w:hAnsiTheme="majorHAnsi"/>
          <w:sz w:val="20"/>
          <w:u w:val="single"/>
        </w:rPr>
        <w:t>everyone</w:t>
      </w:r>
      <w:r>
        <w:rPr>
          <w:rFonts w:asciiTheme="majorHAnsi" w:hAnsiTheme="majorHAnsi"/>
          <w:sz w:val="20"/>
        </w:rPr>
        <w:t>)</w:t>
      </w:r>
    </w:p>
    <w:p w:rsidR="00AB1996" w:rsidRDefault="00AB1996" w:rsidP="00AB1996">
      <w:pPr>
        <w:pStyle w:val="ListParagraph"/>
        <w:numPr>
          <w:ilvl w:val="1"/>
          <w:numId w:val="2"/>
        </w:numPr>
        <w:rPr>
          <w:rFonts w:asciiTheme="majorHAnsi" w:hAnsiTheme="majorHAnsi"/>
          <w:sz w:val="20"/>
        </w:rPr>
      </w:pPr>
      <w:r>
        <w:rPr>
          <w:rFonts w:asciiTheme="majorHAnsi" w:hAnsiTheme="majorHAnsi"/>
          <w:sz w:val="20"/>
        </w:rPr>
        <w:t>Home screen should show the research dashboard</w:t>
      </w:r>
    </w:p>
    <w:p w:rsidR="008B34D8" w:rsidRDefault="008B34D8" w:rsidP="008B34D8">
      <w:pPr>
        <w:pStyle w:val="ListParagraph"/>
        <w:numPr>
          <w:ilvl w:val="0"/>
          <w:numId w:val="2"/>
        </w:numPr>
        <w:rPr>
          <w:rFonts w:asciiTheme="majorHAnsi" w:hAnsiTheme="majorHAnsi"/>
          <w:sz w:val="20"/>
        </w:rPr>
      </w:pPr>
      <w:r w:rsidRPr="008B34D8">
        <w:rPr>
          <w:rFonts w:asciiTheme="majorHAnsi" w:hAnsiTheme="majorHAnsi"/>
          <w:sz w:val="20"/>
        </w:rPr>
        <w:t>Select Patient Lists from the main toolbar</w:t>
      </w:r>
      <w:r w:rsidR="00AB1996">
        <w:rPr>
          <w:rFonts w:asciiTheme="majorHAnsi" w:hAnsiTheme="majorHAnsi"/>
          <w:sz w:val="20"/>
        </w:rPr>
        <w:t xml:space="preserve"> on top</w:t>
      </w:r>
      <w:r w:rsidRPr="008B34D8">
        <w:rPr>
          <w:rFonts w:asciiTheme="majorHAnsi" w:hAnsiTheme="majorHAnsi"/>
          <w:sz w:val="20"/>
        </w:rPr>
        <w:t>.</w:t>
      </w:r>
    </w:p>
    <w:p w:rsidR="00AB1996" w:rsidRPr="008B34D8" w:rsidRDefault="00AB1996" w:rsidP="008B34D8">
      <w:pPr>
        <w:pStyle w:val="ListParagraph"/>
        <w:numPr>
          <w:ilvl w:val="0"/>
          <w:numId w:val="2"/>
        </w:numPr>
        <w:rPr>
          <w:rFonts w:asciiTheme="majorHAnsi" w:hAnsiTheme="majorHAnsi"/>
          <w:sz w:val="20"/>
        </w:rPr>
      </w:pPr>
      <w:r>
        <w:rPr>
          <w:rFonts w:asciiTheme="majorHAnsi" w:hAnsiTheme="majorHAnsi"/>
          <w:sz w:val="20"/>
        </w:rPr>
        <w:t>Select System Lists from the navigator toolbar on the left.</w:t>
      </w:r>
    </w:p>
    <w:p w:rsidR="008B34D8" w:rsidRPr="008B34D8" w:rsidRDefault="00AB1996" w:rsidP="008B34D8">
      <w:pPr>
        <w:pStyle w:val="ListParagraph"/>
        <w:numPr>
          <w:ilvl w:val="0"/>
          <w:numId w:val="2"/>
        </w:numPr>
        <w:rPr>
          <w:rFonts w:asciiTheme="majorHAnsi" w:hAnsiTheme="majorHAnsi"/>
          <w:sz w:val="20"/>
        </w:rPr>
      </w:pPr>
      <w:r>
        <w:rPr>
          <w:rFonts w:asciiTheme="majorHAnsi" w:hAnsiTheme="majorHAnsi"/>
          <w:sz w:val="20"/>
        </w:rPr>
        <w:t>Select</w:t>
      </w:r>
      <w:r w:rsidR="008B34D8" w:rsidRPr="008B34D8">
        <w:rPr>
          <w:rFonts w:asciiTheme="majorHAnsi" w:hAnsiTheme="majorHAnsi"/>
          <w:sz w:val="20"/>
        </w:rPr>
        <w:t xml:space="preserve"> the unit to which the patient was admitted.</w:t>
      </w:r>
    </w:p>
    <w:p w:rsidR="008B34D8" w:rsidRDefault="008B34D8" w:rsidP="008B34D8">
      <w:pPr>
        <w:pStyle w:val="ListParagraph"/>
        <w:numPr>
          <w:ilvl w:val="0"/>
          <w:numId w:val="2"/>
        </w:numPr>
        <w:rPr>
          <w:rFonts w:asciiTheme="majorHAnsi" w:hAnsiTheme="majorHAnsi"/>
          <w:sz w:val="20"/>
        </w:rPr>
      </w:pPr>
      <w:r w:rsidRPr="008B34D8">
        <w:rPr>
          <w:rFonts w:asciiTheme="majorHAnsi" w:hAnsiTheme="majorHAnsi"/>
          <w:sz w:val="20"/>
        </w:rPr>
        <w:t>Double-click the patient's name to open the encounter.</w:t>
      </w:r>
    </w:p>
    <w:p w:rsidR="00AB1996" w:rsidRPr="008B34D8" w:rsidRDefault="00AB1996" w:rsidP="00AB1996">
      <w:pPr>
        <w:pStyle w:val="ListParagraph"/>
        <w:numPr>
          <w:ilvl w:val="1"/>
          <w:numId w:val="2"/>
        </w:numPr>
        <w:rPr>
          <w:rFonts w:asciiTheme="majorHAnsi" w:hAnsiTheme="majorHAnsi"/>
          <w:sz w:val="20"/>
        </w:rPr>
      </w:pPr>
      <w:r>
        <w:rPr>
          <w:rFonts w:asciiTheme="majorHAnsi" w:hAnsiTheme="majorHAnsi"/>
          <w:sz w:val="20"/>
        </w:rPr>
        <w:t>Alternatively, you may select Pt Research Studies from the main toolbar and enter the patient’s name or MRN directly.</w:t>
      </w:r>
    </w:p>
    <w:p w:rsidR="00D16E20" w:rsidRDefault="00D16E20" w:rsidP="008B34D8">
      <w:pPr>
        <w:pStyle w:val="ListParagraph"/>
        <w:numPr>
          <w:ilvl w:val="0"/>
          <w:numId w:val="2"/>
        </w:numPr>
        <w:rPr>
          <w:rFonts w:asciiTheme="majorHAnsi" w:hAnsiTheme="majorHAnsi"/>
          <w:sz w:val="20"/>
        </w:rPr>
      </w:pPr>
      <w:r>
        <w:rPr>
          <w:rFonts w:asciiTheme="majorHAnsi" w:hAnsiTheme="majorHAnsi"/>
          <w:sz w:val="20"/>
        </w:rPr>
        <w:t>Select ‘Research Studies’ from the navigator toolbar on the left.</w:t>
      </w:r>
    </w:p>
    <w:p w:rsidR="008B34D8" w:rsidRPr="008B34D8" w:rsidRDefault="008B34D8" w:rsidP="008B34D8">
      <w:pPr>
        <w:pStyle w:val="ListParagraph"/>
        <w:numPr>
          <w:ilvl w:val="0"/>
          <w:numId w:val="2"/>
        </w:numPr>
        <w:rPr>
          <w:rFonts w:asciiTheme="majorHAnsi" w:hAnsiTheme="majorHAnsi"/>
          <w:sz w:val="20"/>
        </w:rPr>
      </w:pPr>
      <w:r w:rsidRPr="008B34D8">
        <w:rPr>
          <w:rFonts w:asciiTheme="majorHAnsi" w:hAnsiTheme="majorHAnsi"/>
          <w:sz w:val="20"/>
        </w:rPr>
        <w:t>Click Add to select a research study.</w:t>
      </w:r>
    </w:p>
    <w:p w:rsidR="008B34D8" w:rsidRPr="008B34D8" w:rsidRDefault="008B34D8" w:rsidP="008B34D8">
      <w:pPr>
        <w:pStyle w:val="ListParagraph"/>
        <w:numPr>
          <w:ilvl w:val="0"/>
          <w:numId w:val="2"/>
        </w:numPr>
        <w:rPr>
          <w:rFonts w:asciiTheme="majorHAnsi" w:hAnsiTheme="majorHAnsi"/>
          <w:sz w:val="20"/>
        </w:rPr>
      </w:pPr>
      <w:r w:rsidRPr="008B34D8">
        <w:rPr>
          <w:rFonts w:asciiTheme="majorHAnsi" w:hAnsiTheme="majorHAnsi"/>
          <w:sz w:val="20"/>
        </w:rPr>
        <w:t>Double Click the appropriate research study.</w:t>
      </w:r>
    </w:p>
    <w:p w:rsidR="008B34D8" w:rsidRPr="008B34D8" w:rsidRDefault="008B34D8" w:rsidP="008B34D8">
      <w:pPr>
        <w:pStyle w:val="ListParagraph"/>
        <w:numPr>
          <w:ilvl w:val="0"/>
          <w:numId w:val="2"/>
        </w:numPr>
        <w:rPr>
          <w:rFonts w:asciiTheme="majorHAnsi" w:hAnsiTheme="majorHAnsi"/>
          <w:sz w:val="20"/>
        </w:rPr>
      </w:pPr>
      <w:r w:rsidRPr="008B34D8">
        <w:rPr>
          <w:rFonts w:asciiTheme="majorHAnsi" w:hAnsiTheme="majorHAnsi"/>
          <w:sz w:val="20"/>
        </w:rPr>
        <w:t xml:space="preserve">Select the </w:t>
      </w:r>
      <w:r w:rsidR="00AB1996">
        <w:rPr>
          <w:rFonts w:asciiTheme="majorHAnsi" w:hAnsiTheme="majorHAnsi"/>
          <w:sz w:val="20"/>
        </w:rPr>
        <w:t>‘</w:t>
      </w:r>
      <w:r w:rsidRPr="008B34D8">
        <w:rPr>
          <w:rFonts w:asciiTheme="majorHAnsi" w:hAnsiTheme="majorHAnsi"/>
          <w:sz w:val="20"/>
        </w:rPr>
        <w:t>Link to current visit</w:t>
      </w:r>
      <w:r w:rsidR="00AB1996">
        <w:rPr>
          <w:rFonts w:asciiTheme="majorHAnsi" w:hAnsiTheme="majorHAnsi"/>
          <w:sz w:val="20"/>
        </w:rPr>
        <w:t>’</w:t>
      </w:r>
      <w:r w:rsidRPr="008B34D8">
        <w:rPr>
          <w:rFonts w:asciiTheme="majorHAnsi" w:hAnsiTheme="majorHAnsi"/>
          <w:sz w:val="20"/>
        </w:rPr>
        <w:t xml:space="preserve"> check box</w:t>
      </w:r>
      <w:r w:rsidR="00AB1996">
        <w:rPr>
          <w:rFonts w:asciiTheme="majorHAnsi" w:hAnsiTheme="majorHAnsi"/>
          <w:sz w:val="20"/>
        </w:rPr>
        <w:t xml:space="preserve"> ONLY if this visit involves Research billing items for Kevin to review</w:t>
      </w:r>
      <w:r w:rsidRPr="008B34D8">
        <w:rPr>
          <w:rFonts w:asciiTheme="majorHAnsi" w:hAnsiTheme="majorHAnsi"/>
          <w:sz w:val="20"/>
        </w:rPr>
        <w:t>.</w:t>
      </w:r>
    </w:p>
    <w:p w:rsidR="00AB1996" w:rsidRPr="008B34D8" w:rsidRDefault="00AB1996" w:rsidP="00AB1996">
      <w:pPr>
        <w:pStyle w:val="ListParagraph"/>
        <w:numPr>
          <w:ilvl w:val="0"/>
          <w:numId w:val="2"/>
        </w:numPr>
        <w:rPr>
          <w:rFonts w:asciiTheme="majorHAnsi" w:hAnsiTheme="majorHAnsi"/>
          <w:sz w:val="20"/>
        </w:rPr>
      </w:pPr>
      <w:r>
        <w:rPr>
          <w:rFonts w:asciiTheme="majorHAnsi" w:hAnsiTheme="majorHAnsi"/>
          <w:sz w:val="20"/>
        </w:rPr>
        <w:t>Assign the appropriate research coordinator.</w:t>
      </w:r>
    </w:p>
    <w:p w:rsidR="008B34D8" w:rsidRDefault="008B34D8" w:rsidP="008B34D8">
      <w:pPr>
        <w:pStyle w:val="ListParagraph"/>
        <w:numPr>
          <w:ilvl w:val="0"/>
          <w:numId w:val="2"/>
        </w:numPr>
        <w:rPr>
          <w:rFonts w:asciiTheme="majorHAnsi" w:hAnsiTheme="majorHAnsi"/>
          <w:sz w:val="20"/>
        </w:rPr>
      </w:pPr>
      <w:r w:rsidRPr="008B34D8">
        <w:rPr>
          <w:rFonts w:asciiTheme="majorHAnsi" w:hAnsiTheme="majorHAnsi"/>
          <w:sz w:val="20"/>
        </w:rPr>
        <w:t>Enter the appropriate study status from the category list</w:t>
      </w:r>
      <w:r w:rsidR="00AB1996">
        <w:rPr>
          <w:rFonts w:asciiTheme="majorHAnsi" w:hAnsiTheme="majorHAnsi"/>
          <w:sz w:val="20"/>
        </w:rPr>
        <w:t xml:space="preserve"> (Enrolled, etc.)</w:t>
      </w:r>
    </w:p>
    <w:p w:rsidR="008B34D8" w:rsidRPr="008B34D8" w:rsidRDefault="008B34D8" w:rsidP="008B34D8">
      <w:pPr>
        <w:pStyle w:val="ListParagraph"/>
        <w:numPr>
          <w:ilvl w:val="0"/>
          <w:numId w:val="2"/>
        </w:numPr>
        <w:rPr>
          <w:rFonts w:asciiTheme="majorHAnsi" w:hAnsiTheme="majorHAnsi"/>
          <w:sz w:val="20"/>
        </w:rPr>
      </w:pPr>
      <w:r w:rsidRPr="008B34D8">
        <w:rPr>
          <w:rFonts w:asciiTheme="majorHAnsi" w:hAnsiTheme="majorHAnsi"/>
          <w:sz w:val="20"/>
        </w:rPr>
        <w:t>Enter any other optional information for the study or patient. Click Accept.</w:t>
      </w:r>
    </w:p>
    <w:p w:rsidR="00BF608A" w:rsidRDefault="008B34D8" w:rsidP="008B34D8">
      <w:pPr>
        <w:pStyle w:val="ListParagraph"/>
        <w:numPr>
          <w:ilvl w:val="0"/>
          <w:numId w:val="2"/>
        </w:numPr>
        <w:rPr>
          <w:rFonts w:asciiTheme="majorHAnsi" w:hAnsiTheme="majorHAnsi"/>
          <w:sz w:val="20"/>
        </w:rPr>
      </w:pPr>
      <w:r w:rsidRPr="008B34D8">
        <w:rPr>
          <w:rFonts w:asciiTheme="majorHAnsi" w:hAnsiTheme="majorHAnsi"/>
          <w:sz w:val="20"/>
        </w:rPr>
        <w:t xml:space="preserve">Close the activity and </w:t>
      </w:r>
      <w:r w:rsidR="00BF608A">
        <w:rPr>
          <w:rFonts w:asciiTheme="majorHAnsi" w:hAnsiTheme="majorHAnsi"/>
          <w:sz w:val="20"/>
        </w:rPr>
        <w:t>click More Activities on the bottom left.</w:t>
      </w:r>
    </w:p>
    <w:p w:rsidR="00BF608A" w:rsidRDefault="00BF608A" w:rsidP="00BF608A">
      <w:pPr>
        <w:pStyle w:val="ListParagraph"/>
        <w:numPr>
          <w:ilvl w:val="1"/>
          <w:numId w:val="2"/>
        </w:numPr>
        <w:rPr>
          <w:rFonts w:asciiTheme="majorHAnsi" w:hAnsiTheme="majorHAnsi"/>
          <w:sz w:val="20"/>
        </w:rPr>
      </w:pPr>
      <w:r>
        <w:rPr>
          <w:rFonts w:asciiTheme="majorHAnsi" w:hAnsiTheme="majorHAnsi"/>
          <w:sz w:val="20"/>
        </w:rPr>
        <w:t>Click the FYI Flag &gt; Select New Flag &gt; Select Research Participant.</w:t>
      </w:r>
    </w:p>
    <w:p w:rsidR="00BF608A" w:rsidRPr="00BF608A" w:rsidRDefault="00180F4C" w:rsidP="00BF608A">
      <w:pPr>
        <w:pStyle w:val="ListParagraph"/>
        <w:numPr>
          <w:ilvl w:val="1"/>
          <w:numId w:val="2"/>
        </w:numPr>
        <w:rPr>
          <w:rFonts w:asciiTheme="majorHAnsi" w:hAnsiTheme="majorHAnsi"/>
          <w:sz w:val="20"/>
        </w:rPr>
      </w:pPr>
      <w:r>
        <w:rPr>
          <w:rFonts w:asciiTheme="majorHAnsi" w:hAnsiTheme="majorHAnsi"/>
          <w:sz w:val="20"/>
        </w:rPr>
        <w:t>(</w:t>
      </w:r>
      <w:r w:rsidR="00BF608A">
        <w:rPr>
          <w:rFonts w:asciiTheme="majorHAnsi" w:hAnsiTheme="majorHAnsi"/>
          <w:sz w:val="20"/>
        </w:rPr>
        <w:t>You may deactivate the flag once the patient has completed or withdrawn from the study.</w:t>
      </w:r>
      <w:r>
        <w:rPr>
          <w:rFonts w:asciiTheme="majorHAnsi" w:hAnsiTheme="majorHAnsi"/>
          <w:sz w:val="20"/>
        </w:rPr>
        <w:t>)</w:t>
      </w:r>
    </w:p>
    <w:p w:rsidR="008B34D8" w:rsidRDefault="00BF608A" w:rsidP="008B34D8">
      <w:pPr>
        <w:pStyle w:val="ListParagraph"/>
        <w:numPr>
          <w:ilvl w:val="0"/>
          <w:numId w:val="2"/>
        </w:numPr>
        <w:rPr>
          <w:rFonts w:asciiTheme="majorHAnsi" w:hAnsiTheme="majorHAnsi"/>
          <w:sz w:val="20"/>
        </w:rPr>
      </w:pPr>
      <w:r>
        <w:rPr>
          <w:rFonts w:asciiTheme="majorHAnsi" w:hAnsiTheme="majorHAnsi"/>
          <w:sz w:val="20"/>
        </w:rPr>
        <w:t>C</w:t>
      </w:r>
      <w:r w:rsidR="008B34D8" w:rsidRPr="008B34D8">
        <w:rPr>
          <w:rFonts w:asciiTheme="majorHAnsi" w:hAnsiTheme="majorHAnsi"/>
          <w:sz w:val="20"/>
        </w:rPr>
        <w:t>lose the current patient's chart.</w:t>
      </w:r>
    </w:p>
    <w:p w:rsidR="00A656A4" w:rsidRPr="00A656A4" w:rsidRDefault="00AC2290" w:rsidP="008B34D8">
      <w:pPr>
        <w:pStyle w:val="ListParagraph"/>
        <w:numPr>
          <w:ilvl w:val="0"/>
          <w:numId w:val="2"/>
        </w:numPr>
        <w:rPr>
          <w:rFonts w:asciiTheme="majorHAnsi" w:hAnsiTheme="majorHAnsi"/>
          <w:b/>
          <w:sz w:val="20"/>
        </w:rPr>
      </w:pPr>
      <w:r>
        <w:rPr>
          <w:rFonts w:asciiTheme="majorHAnsi" w:hAnsiTheme="majorHAnsi"/>
          <w:b/>
          <w:noProof/>
          <w:sz w:val="20"/>
        </w:rPr>
        <w:drawing>
          <wp:anchor distT="0" distB="0" distL="114300" distR="114300" simplePos="0" relativeHeight="251658240" behindDoc="0" locked="0" layoutInCell="1" allowOverlap="1">
            <wp:simplePos x="0" y="0"/>
            <wp:positionH relativeFrom="column">
              <wp:posOffset>2155190</wp:posOffset>
            </wp:positionH>
            <wp:positionV relativeFrom="paragraph">
              <wp:posOffset>387350</wp:posOffset>
            </wp:positionV>
            <wp:extent cx="4204970" cy="2030095"/>
            <wp:effectExtent l="171450" t="133350" r="367030" b="31305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204970" cy="2030095"/>
                    </a:xfrm>
                    <a:prstGeom prst="rect">
                      <a:avLst/>
                    </a:prstGeom>
                    <a:ln>
                      <a:noFill/>
                    </a:ln>
                    <a:effectLst>
                      <a:outerShdw blurRad="292100" dist="139700" dir="2700000" algn="tl" rotWithShape="0">
                        <a:srgbClr val="333333">
                          <a:alpha val="65000"/>
                        </a:srgbClr>
                      </a:outerShdw>
                    </a:effectLst>
                  </pic:spPr>
                </pic:pic>
              </a:graphicData>
            </a:graphic>
          </wp:anchor>
        </w:drawing>
      </w:r>
      <w:r w:rsidR="00A656A4" w:rsidRPr="00A656A4">
        <w:rPr>
          <w:rFonts w:asciiTheme="majorHAnsi" w:hAnsiTheme="majorHAnsi"/>
          <w:b/>
          <w:sz w:val="20"/>
        </w:rPr>
        <w:t xml:space="preserve">Please note, you must still submit all Enrollment notification and Billing notification forms to TGH OCR at </w:t>
      </w:r>
      <w:hyperlink r:id="rId6" w:history="1">
        <w:r w:rsidR="00A656A4" w:rsidRPr="00A656A4">
          <w:rPr>
            <w:rStyle w:val="Hyperlink"/>
            <w:rFonts w:asciiTheme="majorHAnsi" w:hAnsiTheme="majorHAnsi"/>
            <w:b/>
            <w:sz w:val="20"/>
          </w:rPr>
          <w:t>research@tgh.org</w:t>
        </w:r>
      </w:hyperlink>
      <w:r w:rsidR="00A656A4" w:rsidRPr="00A656A4">
        <w:rPr>
          <w:rFonts w:asciiTheme="majorHAnsi" w:hAnsiTheme="majorHAnsi"/>
          <w:b/>
          <w:sz w:val="20"/>
        </w:rPr>
        <w:t xml:space="preserve">. </w:t>
      </w:r>
    </w:p>
    <w:p w:rsidR="008B34D8" w:rsidRDefault="008B34D8" w:rsidP="008B34D8">
      <w:pPr>
        <w:rPr>
          <w:rFonts w:asciiTheme="majorHAnsi" w:hAnsiTheme="majorHAnsi"/>
          <w:sz w:val="20"/>
        </w:rPr>
      </w:pPr>
    </w:p>
    <w:p w:rsidR="00036D00" w:rsidRDefault="00036D00" w:rsidP="008B34D8">
      <w:pPr>
        <w:rPr>
          <w:rFonts w:asciiTheme="majorHAnsi" w:hAnsiTheme="majorHAnsi"/>
          <w:sz w:val="20"/>
        </w:rPr>
      </w:pPr>
    </w:p>
    <w:p w:rsidR="00036D00" w:rsidRDefault="00036D00" w:rsidP="008B34D8">
      <w:pPr>
        <w:rPr>
          <w:rFonts w:asciiTheme="majorHAnsi" w:hAnsiTheme="majorHAnsi"/>
          <w:sz w:val="20"/>
        </w:rPr>
      </w:pPr>
    </w:p>
    <w:p w:rsidR="00036D00" w:rsidRDefault="00036D00" w:rsidP="008B34D8">
      <w:pPr>
        <w:rPr>
          <w:rFonts w:asciiTheme="majorHAnsi" w:hAnsiTheme="majorHAnsi"/>
          <w:sz w:val="20"/>
        </w:rPr>
      </w:pPr>
    </w:p>
    <w:p w:rsidR="00036D00" w:rsidRDefault="00036D00" w:rsidP="008B34D8">
      <w:pPr>
        <w:rPr>
          <w:rFonts w:asciiTheme="majorHAnsi" w:hAnsiTheme="majorHAnsi"/>
          <w:sz w:val="20"/>
        </w:rPr>
      </w:pPr>
    </w:p>
    <w:p w:rsidR="00036D00" w:rsidRDefault="00036D00" w:rsidP="008B34D8">
      <w:pPr>
        <w:rPr>
          <w:rFonts w:asciiTheme="majorHAnsi" w:hAnsiTheme="majorHAnsi"/>
          <w:sz w:val="20"/>
        </w:rPr>
      </w:pPr>
    </w:p>
    <w:p w:rsidR="00036D00" w:rsidRDefault="00036D00" w:rsidP="008B34D8">
      <w:pPr>
        <w:rPr>
          <w:rFonts w:asciiTheme="majorHAnsi" w:hAnsiTheme="majorHAnsi"/>
          <w:sz w:val="20"/>
        </w:rPr>
      </w:pPr>
    </w:p>
    <w:p w:rsidR="008B34D8" w:rsidRPr="00036D00" w:rsidRDefault="00BF608A" w:rsidP="00AC2290">
      <w:pPr>
        <w:spacing w:line="240" w:lineRule="auto"/>
        <w:rPr>
          <w:rFonts w:asciiTheme="majorHAnsi" w:hAnsiTheme="majorHAnsi"/>
          <w:b/>
          <w:i/>
          <w:sz w:val="20"/>
        </w:rPr>
      </w:pPr>
      <w:r>
        <w:rPr>
          <w:rFonts w:asciiTheme="majorHAnsi" w:hAnsiTheme="majorHAnsi"/>
          <w:b/>
          <w:i/>
          <w:sz w:val="20"/>
        </w:rPr>
        <w:t>Viewing an inpatient chart:</w:t>
      </w:r>
    </w:p>
    <w:p w:rsidR="00036D00" w:rsidRDefault="00BF608A" w:rsidP="00BF608A">
      <w:pPr>
        <w:pStyle w:val="ListParagraph"/>
        <w:numPr>
          <w:ilvl w:val="0"/>
          <w:numId w:val="3"/>
        </w:numPr>
        <w:rPr>
          <w:rFonts w:asciiTheme="majorHAnsi" w:hAnsiTheme="majorHAnsi"/>
          <w:sz w:val="20"/>
          <w:szCs w:val="20"/>
        </w:rPr>
      </w:pPr>
      <w:r w:rsidRPr="00BF608A">
        <w:rPr>
          <w:rFonts w:asciiTheme="majorHAnsi" w:hAnsiTheme="majorHAnsi"/>
          <w:sz w:val="20"/>
          <w:szCs w:val="20"/>
        </w:rPr>
        <w:t xml:space="preserve">Click on </w:t>
      </w:r>
      <w:r>
        <w:rPr>
          <w:rFonts w:asciiTheme="majorHAnsi" w:hAnsiTheme="majorHAnsi"/>
          <w:sz w:val="20"/>
          <w:szCs w:val="20"/>
        </w:rPr>
        <w:t>Patient Lists from the top toolbar.</w:t>
      </w:r>
    </w:p>
    <w:p w:rsidR="00BF608A" w:rsidRDefault="00BF608A" w:rsidP="00BF608A">
      <w:pPr>
        <w:pStyle w:val="ListParagraph"/>
        <w:numPr>
          <w:ilvl w:val="1"/>
          <w:numId w:val="3"/>
        </w:numPr>
        <w:rPr>
          <w:rFonts w:asciiTheme="majorHAnsi" w:hAnsiTheme="majorHAnsi"/>
          <w:sz w:val="20"/>
          <w:szCs w:val="20"/>
        </w:rPr>
      </w:pPr>
      <w:r>
        <w:rPr>
          <w:rFonts w:asciiTheme="majorHAnsi" w:hAnsiTheme="majorHAnsi"/>
          <w:sz w:val="20"/>
          <w:szCs w:val="20"/>
        </w:rPr>
        <w:t>Select System Lists from the left navigator toolbar &gt; Select the unit &gt; Select the patient.</w:t>
      </w:r>
    </w:p>
    <w:p w:rsidR="00BF608A" w:rsidRDefault="00BF608A" w:rsidP="00BF608A">
      <w:pPr>
        <w:pStyle w:val="ListParagraph"/>
        <w:numPr>
          <w:ilvl w:val="0"/>
          <w:numId w:val="3"/>
        </w:numPr>
        <w:rPr>
          <w:rFonts w:asciiTheme="majorHAnsi" w:hAnsiTheme="majorHAnsi"/>
          <w:sz w:val="20"/>
          <w:szCs w:val="20"/>
        </w:rPr>
      </w:pPr>
      <w:r>
        <w:rPr>
          <w:rFonts w:asciiTheme="majorHAnsi" w:hAnsiTheme="majorHAnsi"/>
          <w:sz w:val="20"/>
          <w:szCs w:val="20"/>
        </w:rPr>
        <w:t>Click Chart Review to review any pertinent data on the patient.</w:t>
      </w:r>
    </w:p>
    <w:p w:rsidR="00BF608A" w:rsidRDefault="00BF608A" w:rsidP="00BF608A">
      <w:pPr>
        <w:pStyle w:val="ListParagraph"/>
        <w:numPr>
          <w:ilvl w:val="1"/>
          <w:numId w:val="3"/>
        </w:numPr>
        <w:rPr>
          <w:rFonts w:asciiTheme="majorHAnsi" w:hAnsiTheme="majorHAnsi"/>
          <w:sz w:val="20"/>
          <w:szCs w:val="20"/>
        </w:rPr>
      </w:pPr>
      <w:r>
        <w:rPr>
          <w:rFonts w:asciiTheme="majorHAnsi" w:hAnsiTheme="majorHAnsi"/>
          <w:sz w:val="20"/>
          <w:szCs w:val="20"/>
        </w:rPr>
        <w:t xml:space="preserve">Chart Review is like </w:t>
      </w:r>
      <w:proofErr w:type="spellStart"/>
      <w:r>
        <w:rPr>
          <w:rFonts w:asciiTheme="majorHAnsi" w:hAnsiTheme="majorHAnsi"/>
          <w:sz w:val="20"/>
          <w:szCs w:val="20"/>
        </w:rPr>
        <w:t>Chartview</w:t>
      </w:r>
      <w:proofErr w:type="spellEnd"/>
      <w:r>
        <w:rPr>
          <w:rFonts w:asciiTheme="majorHAnsi" w:hAnsiTheme="majorHAnsi"/>
          <w:sz w:val="20"/>
          <w:szCs w:val="20"/>
        </w:rPr>
        <w:t>. It lists past encounters, labs, etc.</w:t>
      </w:r>
    </w:p>
    <w:p w:rsidR="00BF608A" w:rsidRDefault="00BF608A" w:rsidP="00BF608A">
      <w:pPr>
        <w:pStyle w:val="ListParagraph"/>
        <w:numPr>
          <w:ilvl w:val="1"/>
          <w:numId w:val="3"/>
        </w:numPr>
        <w:rPr>
          <w:rFonts w:asciiTheme="majorHAnsi" w:hAnsiTheme="majorHAnsi"/>
          <w:sz w:val="20"/>
          <w:szCs w:val="20"/>
        </w:rPr>
      </w:pPr>
      <w:r>
        <w:rPr>
          <w:rFonts w:asciiTheme="majorHAnsi" w:hAnsiTheme="majorHAnsi"/>
          <w:sz w:val="20"/>
          <w:szCs w:val="20"/>
        </w:rPr>
        <w:t>Scanned documents are under the ‘Media’ tab (ICF, Data sheet, etc.)</w:t>
      </w:r>
    </w:p>
    <w:p w:rsidR="00BF608A" w:rsidRDefault="00BF608A" w:rsidP="00BF608A">
      <w:pPr>
        <w:pStyle w:val="ListParagraph"/>
        <w:numPr>
          <w:ilvl w:val="0"/>
          <w:numId w:val="3"/>
        </w:numPr>
        <w:rPr>
          <w:rFonts w:asciiTheme="majorHAnsi" w:hAnsiTheme="majorHAnsi"/>
          <w:sz w:val="20"/>
          <w:szCs w:val="20"/>
        </w:rPr>
      </w:pPr>
      <w:r>
        <w:rPr>
          <w:rFonts w:asciiTheme="majorHAnsi" w:hAnsiTheme="majorHAnsi"/>
          <w:sz w:val="20"/>
          <w:szCs w:val="20"/>
        </w:rPr>
        <w:t>Place orders if necessary.</w:t>
      </w:r>
    </w:p>
    <w:p w:rsidR="00BF608A" w:rsidRDefault="00BF608A" w:rsidP="00BF608A">
      <w:pPr>
        <w:pStyle w:val="ListParagraph"/>
        <w:numPr>
          <w:ilvl w:val="0"/>
          <w:numId w:val="3"/>
        </w:numPr>
        <w:rPr>
          <w:rFonts w:asciiTheme="majorHAnsi" w:hAnsiTheme="majorHAnsi"/>
          <w:sz w:val="20"/>
          <w:szCs w:val="20"/>
        </w:rPr>
      </w:pPr>
      <w:r>
        <w:rPr>
          <w:rFonts w:asciiTheme="majorHAnsi" w:hAnsiTheme="majorHAnsi"/>
          <w:sz w:val="20"/>
          <w:szCs w:val="20"/>
        </w:rPr>
        <w:t>Document Progress Note if necessary.</w:t>
      </w:r>
    </w:p>
    <w:p w:rsidR="003576E3" w:rsidRDefault="003576E3" w:rsidP="00AC2290">
      <w:pPr>
        <w:spacing w:line="240" w:lineRule="auto"/>
        <w:rPr>
          <w:rFonts w:asciiTheme="majorHAnsi" w:hAnsiTheme="majorHAnsi"/>
          <w:sz w:val="20"/>
          <w:szCs w:val="20"/>
        </w:rPr>
      </w:pPr>
      <w:r>
        <w:rPr>
          <w:rFonts w:asciiTheme="majorHAnsi" w:hAnsiTheme="majorHAnsi"/>
          <w:b/>
          <w:i/>
          <w:sz w:val="20"/>
          <w:szCs w:val="20"/>
        </w:rPr>
        <w:t>Placing orders in Epic:</w:t>
      </w:r>
    </w:p>
    <w:p w:rsidR="003576E3" w:rsidRDefault="003576E3" w:rsidP="003576E3">
      <w:pPr>
        <w:pStyle w:val="ListParagraph"/>
        <w:numPr>
          <w:ilvl w:val="0"/>
          <w:numId w:val="4"/>
        </w:numPr>
        <w:rPr>
          <w:rFonts w:asciiTheme="majorHAnsi" w:hAnsiTheme="majorHAnsi"/>
          <w:sz w:val="20"/>
          <w:szCs w:val="20"/>
        </w:rPr>
      </w:pPr>
      <w:r>
        <w:rPr>
          <w:rFonts w:asciiTheme="majorHAnsi" w:hAnsiTheme="majorHAnsi"/>
          <w:sz w:val="20"/>
          <w:szCs w:val="20"/>
        </w:rPr>
        <w:t>Select your patient.</w:t>
      </w:r>
    </w:p>
    <w:p w:rsidR="003576E3" w:rsidRDefault="003576E3" w:rsidP="003576E3">
      <w:pPr>
        <w:pStyle w:val="ListParagraph"/>
        <w:numPr>
          <w:ilvl w:val="0"/>
          <w:numId w:val="4"/>
        </w:numPr>
        <w:rPr>
          <w:rFonts w:asciiTheme="majorHAnsi" w:hAnsiTheme="majorHAnsi"/>
          <w:sz w:val="20"/>
          <w:szCs w:val="20"/>
        </w:rPr>
      </w:pPr>
      <w:r>
        <w:rPr>
          <w:rFonts w:asciiTheme="majorHAnsi" w:hAnsiTheme="majorHAnsi"/>
          <w:sz w:val="20"/>
          <w:szCs w:val="20"/>
        </w:rPr>
        <w:t>Click on Research Visit from the left navigator bar.</w:t>
      </w:r>
    </w:p>
    <w:p w:rsidR="003576E3" w:rsidRDefault="003576E3" w:rsidP="003576E3">
      <w:pPr>
        <w:pStyle w:val="ListParagraph"/>
        <w:numPr>
          <w:ilvl w:val="0"/>
          <w:numId w:val="4"/>
        </w:numPr>
        <w:rPr>
          <w:rFonts w:asciiTheme="majorHAnsi" w:hAnsiTheme="majorHAnsi"/>
          <w:sz w:val="20"/>
          <w:szCs w:val="20"/>
        </w:rPr>
      </w:pPr>
      <w:r>
        <w:rPr>
          <w:rFonts w:asciiTheme="majorHAnsi" w:hAnsiTheme="majorHAnsi"/>
          <w:sz w:val="20"/>
          <w:szCs w:val="20"/>
        </w:rPr>
        <w:t>Select Research Orders and enter your order.</w:t>
      </w:r>
    </w:p>
    <w:p w:rsidR="003576E3" w:rsidRDefault="003576E3" w:rsidP="003576E3">
      <w:pPr>
        <w:pStyle w:val="ListParagraph"/>
        <w:numPr>
          <w:ilvl w:val="1"/>
          <w:numId w:val="4"/>
        </w:numPr>
        <w:rPr>
          <w:rFonts w:asciiTheme="majorHAnsi" w:hAnsiTheme="majorHAnsi"/>
          <w:sz w:val="20"/>
          <w:szCs w:val="20"/>
        </w:rPr>
      </w:pPr>
      <w:r>
        <w:rPr>
          <w:rFonts w:asciiTheme="majorHAnsi" w:hAnsiTheme="majorHAnsi"/>
          <w:sz w:val="20"/>
          <w:szCs w:val="20"/>
        </w:rPr>
        <w:t>You can use the Preference List of common orders or the Facility List of ALL TGH orders.</w:t>
      </w:r>
    </w:p>
    <w:p w:rsidR="003576E3" w:rsidRDefault="003576E3" w:rsidP="003576E3">
      <w:pPr>
        <w:pStyle w:val="ListParagraph"/>
        <w:numPr>
          <w:ilvl w:val="2"/>
          <w:numId w:val="4"/>
        </w:numPr>
        <w:rPr>
          <w:rFonts w:asciiTheme="majorHAnsi" w:hAnsiTheme="majorHAnsi"/>
          <w:sz w:val="20"/>
          <w:szCs w:val="20"/>
        </w:rPr>
      </w:pPr>
      <w:r>
        <w:rPr>
          <w:rFonts w:asciiTheme="majorHAnsi" w:hAnsiTheme="majorHAnsi"/>
          <w:sz w:val="20"/>
          <w:szCs w:val="20"/>
        </w:rPr>
        <w:lastRenderedPageBreak/>
        <w:t>Unclick ‘medications’ to view only the list of labs/procedures.</w:t>
      </w:r>
    </w:p>
    <w:p w:rsidR="00FE0623" w:rsidRDefault="00FE0623" w:rsidP="003576E3">
      <w:pPr>
        <w:pStyle w:val="ListParagraph"/>
        <w:numPr>
          <w:ilvl w:val="1"/>
          <w:numId w:val="4"/>
        </w:numPr>
        <w:rPr>
          <w:rFonts w:asciiTheme="majorHAnsi" w:hAnsiTheme="majorHAnsi"/>
          <w:sz w:val="20"/>
          <w:szCs w:val="20"/>
        </w:rPr>
      </w:pPr>
      <w:r>
        <w:rPr>
          <w:rFonts w:asciiTheme="majorHAnsi" w:hAnsiTheme="majorHAnsi"/>
          <w:sz w:val="20"/>
          <w:szCs w:val="20"/>
        </w:rPr>
        <w:t>You can also select Order Set and find your research order set in the list.</w:t>
      </w:r>
    </w:p>
    <w:p w:rsidR="003576E3" w:rsidRDefault="003576E3" w:rsidP="003576E3">
      <w:pPr>
        <w:pStyle w:val="ListParagraph"/>
        <w:numPr>
          <w:ilvl w:val="1"/>
          <w:numId w:val="4"/>
        </w:numPr>
        <w:rPr>
          <w:rFonts w:asciiTheme="majorHAnsi" w:hAnsiTheme="majorHAnsi"/>
          <w:sz w:val="20"/>
          <w:szCs w:val="20"/>
        </w:rPr>
      </w:pPr>
      <w:r>
        <w:rPr>
          <w:rFonts w:asciiTheme="majorHAnsi" w:hAnsiTheme="majorHAnsi"/>
          <w:sz w:val="20"/>
          <w:szCs w:val="20"/>
        </w:rPr>
        <w:t xml:space="preserve">Once the order is entered, clicking the blue hyperlink of the order will bring up the order details and you can modify the frequency, dates, etc. as </w:t>
      </w:r>
      <w:r w:rsidR="00FE0623">
        <w:rPr>
          <w:rFonts w:asciiTheme="majorHAnsi" w:hAnsiTheme="majorHAnsi"/>
          <w:sz w:val="20"/>
          <w:szCs w:val="20"/>
        </w:rPr>
        <w:t>required of the protocol</w:t>
      </w:r>
      <w:r>
        <w:rPr>
          <w:rFonts w:asciiTheme="majorHAnsi" w:hAnsiTheme="majorHAnsi"/>
          <w:sz w:val="20"/>
          <w:szCs w:val="20"/>
        </w:rPr>
        <w:t>.</w:t>
      </w:r>
    </w:p>
    <w:p w:rsidR="003576E3" w:rsidRDefault="003576E3" w:rsidP="003576E3">
      <w:pPr>
        <w:pStyle w:val="ListParagraph"/>
        <w:numPr>
          <w:ilvl w:val="0"/>
          <w:numId w:val="4"/>
        </w:numPr>
        <w:rPr>
          <w:rFonts w:asciiTheme="majorHAnsi" w:hAnsiTheme="majorHAnsi"/>
          <w:sz w:val="20"/>
          <w:szCs w:val="20"/>
        </w:rPr>
      </w:pPr>
      <w:r>
        <w:rPr>
          <w:rFonts w:asciiTheme="majorHAnsi" w:hAnsiTheme="majorHAnsi"/>
          <w:sz w:val="20"/>
          <w:szCs w:val="20"/>
        </w:rPr>
        <w:t xml:space="preserve">Research RNs will click Sign Orders and select Verbal with </w:t>
      </w:r>
      <w:proofErr w:type="spellStart"/>
      <w:r>
        <w:rPr>
          <w:rFonts w:asciiTheme="majorHAnsi" w:hAnsiTheme="majorHAnsi"/>
          <w:sz w:val="20"/>
          <w:szCs w:val="20"/>
        </w:rPr>
        <w:t>readback</w:t>
      </w:r>
      <w:proofErr w:type="spellEnd"/>
      <w:r>
        <w:rPr>
          <w:rFonts w:asciiTheme="majorHAnsi" w:hAnsiTheme="majorHAnsi"/>
          <w:sz w:val="20"/>
          <w:szCs w:val="20"/>
        </w:rPr>
        <w:t>.</w:t>
      </w:r>
    </w:p>
    <w:p w:rsidR="003576E3" w:rsidRDefault="003576E3" w:rsidP="003576E3">
      <w:pPr>
        <w:pStyle w:val="ListParagraph"/>
        <w:numPr>
          <w:ilvl w:val="1"/>
          <w:numId w:val="4"/>
        </w:numPr>
        <w:rPr>
          <w:rFonts w:asciiTheme="majorHAnsi" w:hAnsiTheme="majorHAnsi"/>
          <w:sz w:val="20"/>
          <w:szCs w:val="20"/>
        </w:rPr>
      </w:pPr>
      <w:r>
        <w:rPr>
          <w:rFonts w:asciiTheme="majorHAnsi" w:hAnsiTheme="majorHAnsi"/>
          <w:sz w:val="20"/>
          <w:szCs w:val="20"/>
        </w:rPr>
        <w:t>Select the provider name.</w:t>
      </w:r>
    </w:p>
    <w:p w:rsidR="003576E3" w:rsidRDefault="003576E3" w:rsidP="003576E3">
      <w:pPr>
        <w:pStyle w:val="ListParagraph"/>
        <w:numPr>
          <w:ilvl w:val="0"/>
          <w:numId w:val="4"/>
        </w:numPr>
        <w:rPr>
          <w:rFonts w:asciiTheme="majorHAnsi" w:hAnsiTheme="majorHAnsi"/>
          <w:sz w:val="20"/>
          <w:szCs w:val="20"/>
        </w:rPr>
      </w:pPr>
      <w:r>
        <w:rPr>
          <w:rFonts w:asciiTheme="majorHAnsi" w:hAnsiTheme="majorHAnsi"/>
          <w:sz w:val="20"/>
          <w:szCs w:val="20"/>
        </w:rPr>
        <w:t>Non-nursing research coordinators will click Pend Orders and select Physician will release.</w:t>
      </w:r>
    </w:p>
    <w:p w:rsidR="003576E3" w:rsidRDefault="003576E3" w:rsidP="003576E3">
      <w:pPr>
        <w:pStyle w:val="ListParagraph"/>
        <w:numPr>
          <w:ilvl w:val="1"/>
          <w:numId w:val="4"/>
        </w:numPr>
        <w:rPr>
          <w:rFonts w:asciiTheme="majorHAnsi" w:hAnsiTheme="majorHAnsi"/>
          <w:sz w:val="20"/>
          <w:szCs w:val="20"/>
        </w:rPr>
      </w:pPr>
      <w:r>
        <w:rPr>
          <w:rFonts w:asciiTheme="majorHAnsi" w:hAnsiTheme="majorHAnsi"/>
          <w:sz w:val="20"/>
          <w:szCs w:val="20"/>
        </w:rPr>
        <w:t>The orders are not active until a physician logs in to sign the orders.</w:t>
      </w:r>
    </w:p>
    <w:p w:rsidR="003576E3" w:rsidRDefault="003576E3" w:rsidP="003576E3">
      <w:pPr>
        <w:pStyle w:val="ListParagraph"/>
        <w:numPr>
          <w:ilvl w:val="1"/>
          <w:numId w:val="4"/>
        </w:numPr>
        <w:rPr>
          <w:rFonts w:asciiTheme="majorHAnsi" w:hAnsiTheme="majorHAnsi"/>
          <w:sz w:val="20"/>
          <w:szCs w:val="20"/>
        </w:rPr>
      </w:pPr>
      <w:r>
        <w:rPr>
          <w:rFonts w:asciiTheme="majorHAnsi" w:hAnsiTheme="majorHAnsi"/>
          <w:sz w:val="20"/>
          <w:szCs w:val="20"/>
        </w:rPr>
        <w:t>Any physician</w:t>
      </w:r>
      <w:r w:rsidR="00A656A4">
        <w:rPr>
          <w:rFonts w:asciiTheme="majorHAnsi" w:hAnsiTheme="majorHAnsi"/>
          <w:sz w:val="20"/>
          <w:szCs w:val="20"/>
        </w:rPr>
        <w:t>, mid-level,</w:t>
      </w:r>
      <w:r>
        <w:rPr>
          <w:rFonts w:asciiTheme="majorHAnsi" w:hAnsiTheme="majorHAnsi"/>
          <w:sz w:val="20"/>
          <w:szCs w:val="20"/>
        </w:rPr>
        <w:t xml:space="preserve"> or resident will see ‘Pending orders’ on the bottom left and will be able to sign and release the orders.</w:t>
      </w:r>
    </w:p>
    <w:p w:rsidR="00FE0623" w:rsidRDefault="00FE0623" w:rsidP="00AC2290">
      <w:pPr>
        <w:spacing w:line="240" w:lineRule="auto"/>
        <w:rPr>
          <w:rFonts w:asciiTheme="majorHAnsi" w:hAnsiTheme="majorHAnsi"/>
          <w:sz w:val="20"/>
          <w:szCs w:val="20"/>
        </w:rPr>
      </w:pPr>
      <w:r>
        <w:rPr>
          <w:rFonts w:asciiTheme="majorHAnsi" w:hAnsiTheme="majorHAnsi"/>
          <w:b/>
          <w:i/>
          <w:sz w:val="20"/>
          <w:szCs w:val="20"/>
        </w:rPr>
        <w:t>Outpatient CORE clinic visit:</w:t>
      </w:r>
    </w:p>
    <w:p w:rsidR="00FE0623" w:rsidRDefault="00FE0623" w:rsidP="00FE0623">
      <w:pPr>
        <w:pStyle w:val="ListParagraph"/>
        <w:numPr>
          <w:ilvl w:val="0"/>
          <w:numId w:val="5"/>
        </w:numPr>
        <w:rPr>
          <w:rFonts w:asciiTheme="majorHAnsi" w:hAnsiTheme="majorHAnsi"/>
          <w:sz w:val="20"/>
        </w:rPr>
      </w:pPr>
      <w:r>
        <w:rPr>
          <w:rFonts w:asciiTheme="majorHAnsi" w:hAnsiTheme="majorHAnsi"/>
          <w:sz w:val="20"/>
        </w:rPr>
        <w:t>Login with your user ID and password.</w:t>
      </w:r>
    </w:p>
    <w:p w:rsidR="00FE0623" w:rsidRDefault="00FE0623" w:rsidP="00FE0623">
      <w:pPr>
        <w:pStyle w:val="ListParagraph"/>
        <w:numPr>
          <w:ilvl w:val="1"/>
          <w:numId w:val="5"/>
        </w:numPr>
        <w:rPr>
          <w:rFonts w:asciiTheme="majorHAnsi" w:hAnsiTheme="majorHAnsi"/>
          <w:sz w:val="20"/>
        </w:rPr>
      </w:pPr>
      <w:r>
        <w:rPr>
          <w:rFonts w:asciiTheme="majorHAnsi" w:hAnsiTheme="majorHAnsi"/>
          <w:sz w:val="20"/>
        </w:rPr>
        <w:t>Department is always CORE-</w:t>
      </w:r>
      <w:proofErr w:type="spellStart"/>
      <w:r>
        <w:rPr>
          <w:rFonts w:asciiTheme="majorHAnsi" w:hAnsiTheme="majorHAnsi"/>
          <w:sz w:val="20"/>
        </w:rPr>
        <w:t>ctr</w:t>
      </w:r>
      <w:proofErr w:type="spellEnd"/>
      <w:r>
        <w:rPr>
          <w:rFonts w:asciiTheme="majorHAnsi" w:hAnsiTheme="majorHAnsi"/>
          <w:sz w:val="20"/>
        </w:rPr>
        <w:t xml:space="preserve"> for research excel (for </w:t>
      </w:r>
      <w:r>
        <w:rPr>
          <w:rFonts w:asciiTheme="majorHAnsi" w:hAnsiTheme="majorHAnsi"/>
          <w:sz w:val="20"/>
          <w:u w:val="single"/>
        </w:rPr>
        <w:t>everyone</w:t>
      </w:r>
      <w:r>
        <w:rPr>
          <w:rFonts w:asciiTheme="majorHAnsi" w:hAnsiTheme="majorHAnsi"/>
          <w:sz w:val="20"/>
        </w:rPr>
        <w:t>)</w:t>
      </w:r>
    </w:p>
    <w:p w:rsidR="00FE0623" w:rsidRDefault="00FE0623" w:rsidP="00FE0623">
      <w:pPr>
        <w:pStyle w:val="ListParagraph"/>
        <w:numPr>
          <w:ilvl w:val="1"/>
          <w:numId w:val="5"/>
        </w:numPr>
        <w:rPr>
          <w:rFonts w:asciiTheme="majorHAnsi" w:hAnsiTheme="majorHAnsi"/>
          <w:sz w:val="20"/>
        </w:rPr>
      </w:pPr>
      <w:r>
        <w:rPr>
          <w:rFonts w:asciiTheme="majorHAnsi" w:hAnsiTheme="majorHAnsi"/>
          <w:sz w:val="20"/>
        </w:rPr>
        <w:t>Home screen should show the research dashboard</w:t>
      </w:r>
    </w:p>
    <w:p w:rsidR="00FE0623" w:rsidRDefault="00FE0623" w:rsidP="00FE0623">
      <w:pPr>
        <w:pStyle w:val="ListParagraph"/>
        <w:numPr>
          <w:ilvl w:val="0"/>
          <w:numId w:val="5"/>
        </w:numPr>
        <w:rPr>
          <w:rFonts w:asciiTheme="majorHAnsi" w:hAnsiTheme="majorHAnsi"/>
          <w:sz w:val="20"/>
          <w:szCs w:val="20"/>
        </w:rPr>
      </w:pPr>
      <w:r>
        <w:rPr>
          <w:rFonts w:asciiTheme="majorHAnsi" w:hAnsiTheme="majorHAnsi"/>
          <w:sz w:val="20"/>
          <w:szCs w:val="20"/>
        </w:rPr>
        <w:t>Click on the schedule (clock) icon to open the schedule.</w:t>
      </w:r>
    </w:p>
    <w:p w:rsidR="00FE0623" w:rsidRDefault="00FE0623" w:rsidP="00FE0623">
      <w:pPr>
        <w:pStyle w:val="ListParagraph"/>
        <w:numPr>
          <w:ilvl w:val="1"/>
          <w:numId w:val="5"/>
        </w:numPr>
        <w:rPr>
          <w:rFonts w:asciiTheme="majorHAnsi" w:hAnsiTheme="majorHAnsi"/>
          <w:sz w:val="20"/>
          <w:szCs w:val="20"/>
        </w:rPr>
      </w:pPr>
      <w:r>
        <w:rPr>
          <w:rFonts w:asciiTheme="majorHAnsi" w:hAnsiTheme="majorHAnsi"/>
          <w:sz w:val="20"/>
          <w:szCs w:val="20"/>
        </w:rPr>
        <w:t>Click on the folder named: CORE-</w:t>
      </w:r>
      <w:proofErr w:type="spellStart"/>
      <w:r>
        <w:rPr>
          <w:rFonts w:asciiTheme="majorHAnsi" w:hAnsiTheme="majorHAnsi"/>
          <w:sz w:val="20"/>
          <w:szCs w:val="20"/>
        </w:rPr>
        <w:t>ctr</w:t>
      </w:r>
      <w:proofErr w:type="spellEnd"/>
      <w:r>
        <w:rPr>
          <w:rFonts w:asciiTheme="majorHAnsi" w:hAnsiTheme="majorHAnsi"/>
          <w:sz w:val="20"/>
          <w:szCs w:val="20"/>
        </w:rPr>
        <w:t xml:space="preserve"> for research excel</w:t>
      </w:r>
    </w:p>
    <w:p w:rsidR="00FE0623" w:rsidRDefault="00FE0623" w:rsidP="00FE0623">
      <w:pPr>
        <w:pStyle w:val="ListParagraph"/>
        <w:numPr>
          <w:ilvl w:val="0"/>
          <w:numId w:val="5"/>
        </w:numPr>
        <w:rPr>
          <w:rFonts w:asciiTheme="majorHAnsi" w:hAnsiTheme="majorHAnsi"/>
          <w:sz w:val="20"/>
          <w:szCs w:val="20"/>
        </w:rPr>
      </w:pPr>
      <w:r>
        <w:rPr>
          <w:rFonts w:asciiTheme="majorHAnsi" w:hAnsiTheme="majorHAnsi"/>
          <w:sz w:val="20"/>
          <w:szCs w:val="20"/>
        </w:rPr>
        <w:t>Double-click the patient on the schedule to access the patient’s chart.</w:t>
      </w:r>
    </w:p>
    <w:p w:rsidR="00FE0623" w:rsidRDefault="00FE0623" w:rsidP="00FE0623">
      <w:pPr>
        <w:pStyle w:val="ListParagraph"/>
        <w:numPr>
          <w:ilvl w:val="1"/>
          <w:numId w:val="5"/>
        </w:numPr>
        <w:rPr>
          <w:rFonts w:asciiTheme="majorHAnsi" w:hAnsiTheme="majorHAnsi"/>
          <w:sz w:val="20"/>
          <w:szCs w:val="20"/>
        </w:rPr>
      </w:pPr>
      <w:r>
        <w:rPr>
          <w:rFonts w:asciiTheme="majorHAnsi" w:hAnsiTheme="majorHAnsi"/>
          <w:sz w:val="20"/>
          <w:szCs w:val="20"/>
        </w:rPr>
        <w:t>The research navigator should open.</w:t>
      </w:r>
    </w:p>
    <w:p w:rsidR="00FE0623" w:rsidRPr="00FE0623" w:rsidRDefault="00FE0623" w:rsidP="00FE0623">
      <w:pPr>
        <w:pStyle w:val="ListParagraph"/>
        <w:numPr>
          <w:ilvl w:val="1"/>
          <w:numId w:val="5"/>
        </w:numPr>
        <w:rPr>
          <w:rFonts w:asciiTheme="majorHAnsi" w:hAnsiTheme="majorHAnsi"/>
          <w:sz w:val="20"/>
          <w:szCs w:val="20"/>
        </w:rPr>
      </w:pPr>
      <w:r>
        <w:rPr>
          <w:rFonts w:asciiTheme="majorHAnsi" w:hAnsiTheme="majorHAnsi"/>
          <w:sz w:val="20"/>
          <w:szCs w:val="20"/>
        </w:rPr>
        <w:t>Place Orders or document Progress Notes as above.</w:t>
      </w:r>
    </w:p>
    <w:p w:rsidR="00FB3CA0" w:rsidRDefault="00FB3CA0" w:rsidP="00AC2290">
      <w:pPr>
        <w:spacing w:line="240" w:lineRule="auto"/>
        <w:rPr>
          <w:rFonts w:asciiTheme="majorHAnsi" w:hAnsiTheme="majorHAnsi"/>
          <w:sz w:val="20"/>
          <w:szCs w:val="20"/>
        </w:rPr>
      </w:pPr>
      <w:r>
        <w:rPr>
          <w:rFonts w:asciiTheme="majorHAnsi" w:hAnsiTheme="majorHAnsi"/>
          <w:b/>
          <w:i/>
          <w:sz w:val="20"/>
          <w:szCs w:val="20"/>
        </w:rPr>
        <w:t>Scanning into Epic:</w:t>
      </w:r>
    </w:p>
    <w:p w:rsidR="00FB3CA0" w:rsidRDefault="00FB3CA0" w:rsidP="00FB3CA0">
      <w:pPr>
        <w:pStyle w:val="ListParagraph"/>
        <w:numPr>
          <w:ilvl w:val="0"/>
          <w:numId w:val="7"/>
        </w:numPr>
        <w:rPr>
          <w:rFonts w:asciiTheme="majorHAnsi" w:hAnsiTheme="majorHAnsi"/>
          <w:sz w:val="20"/>
          <w:szCs w:val="20"/>
        </w:rPr>
      </w:pPr>
      <w:r>
        <w:rPr>
          <w:rFonts w:asciiTheme="majorHAnsi" w:hAnsiTheme="majorHAnsi"/>
          <w:sz w:val="20"/>
          <w:szCs w:val="20"/>
        </w:rPr>
        <w:t>When scanning into Epic, each document must have the correct document cover sheet.</w:t>
      </w:r>
    </w:p>
    <w:p w:rsidR="00FB3CA0" w:rsidRDefault="00FB3CA0" w:rsidP="00FB3CA0">
      <w:pPr>
        <w:pStyle w:val="ListParagraph"/>
        <w:numPr>
          <w:ilvl w:val="1"/>
          <w:numId w:val="7"/>
        </w:numPr>
        <w:rPr>
          <w:rFonts w:asciiTheme="majorHAnsi" w:hAnsiTheme="majorHAnsi"/>
          <w:sz w:val="20"/>
          <w:szCs w:val="20"/>
        </w:rPr>
      </w:pPr>
      <w:r>
        <w:rPr>
          <w:rFonts w:asciiTheme="majorHAnsi" w:hAnsiTheme="majorHAnsi"/>
          <w:sz w:val="20"/>
          <w:szCs w:val="20"/>
        </w:rPr>
        <w:t>We have a cover sheet for each research form (ICF, Device data sheet, Research Information sheet).</w:t>
      </w:r>
    </w:p>
    <w:p w:rsidR="00AC2290" w:rsidRDefault="00AC2290" w:rsidP="00FB3CA0">
      <w:pPr>
        <w:pStyle w:val="ListParagraph"/>
        <w:numPr>
          <w:ilvl w:val="1"/>
          <w:numId w:val="7"/>
        </w:numPr>
        <w:rPr>
          <w:rFonts w:asciiTheme="majorHAnsi" w:hAnsiTheme="majorHAnsi"/>
          <w:sz w:val="20"/>
          <w:szCs w:val="20"/>
        </w:rPr>
      </w:pPr>
      <w:r>
        <w:rPr>
          <w:rFonts w:asciiTheme="majorHAnsi" w:hAnsiTheme="majorHAnsi"/>
          <w:sz w:val="20"/>
          <w:szCs w:val="20"/>
        </w:rPr>
        <w:t>You may also fill out the Consent Checklist, if you prefer, and scan it with the patient’s ICF.</w:t>
      </w:r>
    </w:p>
    <w:p w:rsidR="00FB3CA0" w:rsidRDefault="00FB3CA0" w:rsidP="00FB3CA0">
      <w:pPr>
        <w:pStyle w:val="ListParagraph"/>
        <w:numPr>
          <w:ilvl w:val="0"/>
          <w:numId w:val="7"/>
        </w:numPr>
        <w:rPr>
          <w:rFonts w:asciiTheme="majorHAnsi" w:hAnsiTheme="majorHAnsi"/>
          <w:sz w:val="20"/>
          <w:szCs w:val="20"/>
        </w:rPr>
      </w:pPr>
      <w:r>
        <w:rPr>
          <w:rFonts w:asciiTheme="majorHAnsi" w:hAnsiTheme="majorHAnsi"/>
          <w:sz w:val="20"/>
          <w:szCs w:val="20"/>
        </w:rPr>
        <w:t>You must</w:t>
      </w:r>
      <w:r w:rsidR="00A656A4">
        <w:rPr>
          <w:rFonts w:asciiTheme="majorHAnsi" w:hAnsiTheme="majorHAnsi"/>
          <w:sz w:val="20"/>
          <w:szCs w:val="20"/>
        </w:rPr>
        <w:t xml:space="preserve"> also put a patient label on each</w:t>
      </w:r>
      <w:r>
        <w:rPr>
          <w:rFonts w:asciiTheme="majorHAnsi" w:hAnsiTheme="majorHAnsi"/>
          <w:sz w:val="20"/>
          <w:szCs w:val="20"/>
        </w:rPr>
        <w:t xml:space="preserve"> cover sheet (available near the patient’s mini chart on the unit).</w:t>
      </w:r>
    </w:p>
    <w:p w:rsidR="00FB3CA0" w:rsidRDefault="00FB3CA0" w:rsidP="00FB3CA0">
      <w:pPr>
        <w:pStyle w:val="ListParagraph"/>
        <w:numPr>
          <w:ilvl w:val="0"/>
          <w:numId w:val="7"/>
        </w:numPr>
        <w:rPr>
          <w:rFonts w:asciiTheme="majorHAnsi" w:hAnsiTheme="majorHAnsi"/>
          <w:sz w:val="20"/>
          <w:szCs w:val="20"/>
        </w:rPr>
      </w:pPr>
      <w:r>
        <w:rPr>
          <w:rFonts w:asciiTheme="majorHAnsi" w:hAnsiTheme="majorHAnsi"/>
          <w:sz w:val="20"/>
          <w:szCs w:val="20"/>
        </w:rPr>
        <w:t>Follow the instructions on the Ricoh scanner to scan the documents (you will need to swipe your badge for access).</w:t>
      </w:r>
    </w:p>
    <w:p w:rsidR="00FB3CA0" w:rsidRDefault="00FB3CA0" w:rsidP="00FB3CA0">
      <w:pPr>
        <w:pStyle w:val="ListParagraph"/>
        <w:numPr>
          <w:ilvl w:val="0"/>
          <w:numId w:val="7"/>
        </w:numPr>
        <w:rPr>
          <w:rFonts w:asciiTheme="majorHAnsi" w:hAnsiTheme="majorHAnsi"/>
          <w:sz w:val="20"/>
          <w:szCs w:val="20"/>
        </w:rPr>
      </w:pPr>
      <w:r>
        <w:rPr>
          <w:rFonts w:asciiTheme="majorHAnsi" w:hAnsiTheme="majorHAnsi"/>
          <w:sz w:val="20"/>
          <w:szCs w:val="20"/>
        </w:rPr>
        <w:t>Once scanned, stamp the documents as “scanned” (stamp should be available on the unit) and place the Data sheet and Research information sheet into the patient’s mini chart on the unit.</w:t>
      </w:r>
    </w:p>
    <w:p w:rsidR="00FB3CA0" w:rsidRDefault="00FB3CA0" w:rsidP="00FB3CA0">
      <w:pPr>
        <w:pStyle w:val="ListParagraph"/>
        <w:numPr>
          <w:ilvl w:val="1"/>
          <w:numId w:val="7"/>
        </w:numPr>
        <w:rPr>
          <w:rFonts w:asciiTheme="majorHAnsi" w:hAnsiTheme="majorHAnsi"/>
          <w:sz w:val="20"/>
          <w:szCs w:val="20"/>
        </w:rPr>
      </w:pPr>
      <w:r>
        <w:rPr>
          <w:rFonts w:asciiTheme="majorHAnsi" w:hAnsiTheme="majorHAnsi"/>
          <w:sz w:val="20"/>
          <w:szCs w:val="20"/>
        </w:rPr>
        <w:t>The copy of the ICF must be placed into the red TGH HIM dept. bag to go to HIM for verification.</w:t>
      </w:r>
    </w:p>
    <w:p w:rsidR="007C1AEF" w:rsidRPr="00FB3CA0" w:rsidRDefault="007C1AEF" w:rsidP="00FB3CA0">
      <w:pPr>
        <w:pStyle w:val="ListParagraph"/>
        <w:numPr>
          <w:ilvl w:val="1"/>
          <w:numId w:val="7"/>
        </w:numPr>
        <w:rPr>
          <w:rFonts w:asciiTheme="majorHAnsi" w:hAnsiTheme="majorHAnsi"/>
          <w:sz w:val="20"/>
          <w:szCs w:val="20"/>
        </w:rPr>
      </w:pPr>
      <w:r>
        <w:rPr>
          <w:rFonts w:asciiTheme="majorHAnsi" w:hAnsiTheme="majorHAnsi"/>
          <w:sz w:val="20"/>
          <w:szCs w:val="20"/>
        </w:rPr>
        <w:t>All scanned documents will appear in the Media tab of the patient’s chart</w:t>
      </w:r>
      <w:r w:rsidR="00A656A4">
        <w:rPr>
          <w:rFonts w:asciiTheme="majorHAnsi" w:hAnsiTheme="majorHAnsi"/>
          <w:sz w:val="20"/>
          <w:szCs w:val="20"/>
        </w:rPr>
        <w:t>, under ‘Research Authorization’</w:t>
      </w:r>
      <w:r>
        <w:rPr>
          <w:rFonts w:asciiTheme="majorHAnsi" w:hAnsiTheme="majorHAnsi"/>
          <w:sz w:val="20"/>
          <w:szCs w:val="20"/>
        </w:rPr>
        <w:t xml:space="preserve"> (most recent documents on top).</w:t>
      </w:r>
    </w:p>
    <w:p w:rsidR="00E70DE5" w:rsidRDefault="00E70DE5" w:rsidP="00AC2290">
      <w:pPr>
        <w:spacing w:line="240" w:lineRule="auto"/>
        <w:rPr>
          <w:rFonts w:asciiTheme="majorHAnsi" w:hAnsiTheme="majorHAnsi"/>
          <w:sz w:val="20"/>
          <w:szCs w:val="20"/>
        </w:rPr>
      </w:pPr>
      <w:r>
        <w:rPr>
          <w:rFonts w:asciiTheme="majorHAnsi" w:hAnsiTheme="majorHAnsi"/>
          <w:b/>
          <w:i/>
          <w:sz w:val="20"/>
          <w:szCs w:val="20"/>
        </w:rPr>
        <w:t>Remote access to Epic Hyperspace:</w:t>
      </w:r>
    </w:p>
    <w:p w:rsidR="00E70DE5" w:rsidRDefault="00E70DE5" w:rsidP="00E70DE5">
      <w:pPr>
        <w:pStyle w:val="ListParagraph"/>
        <w:numPr>
          <w:ilvl w:val="0"/>
          <w:numId w:val="6"/>
        </w:numPr>
        <w:rPr>
          <w:rFonts w:asciiTheme="majorHAnsi" w:hAnsiTheme="majorHAnsi"/>
          <w:sz w:val="20"/>
          <w:szCs w:val="20"/>
        </w:rPr>
      </w:pPr>
      <w:r>
        <w:rPr>
          <w:rFonts w:asciiTheme="majorHAnsi" w:hAnsiTheme="majorHAnsi"/>
          <w:sz w:val="20"/>
          <w:szCs w:val="20"/>
        </w:rPr>
        <w:t xml:space="preserve">From any computer with internet access outside the TGH network, go to </w:t>
      </w:r>
      <w:hyperlink r:id="rId7" w:history="1">
        <w:r w:rsidRPr="00C34A50">
          <w:rPr>
            <w:rStyle w:val="Hyperlink"/>
            <w:rFonts w:asciiTheme="majorHAnsi" w:hAnsiTheme="majorHAnsi"/>
            <w:sz w:val="20"/>
            <w:szCs w:val="20"/>
          </w:rPr>
          <w:t>https://connect.tgh.org</w:t>
        </w:r>
      </w:hyperlink>
    </w:p>
    <w:p w:rsidR="00E70DE5" w:rsidRDefault="00E70DE5" w:rsidP="00E70DE5">
      <w:pPr>
        <w:pStyle w:val="ListParagraph"/>
        <w:numPr>
          <w:ilvl w:val="0"/>
          <w:numId w:val="6"/>
        </w:numPr>
        <w:rPr>
          <w:rFonts w:asciiTheme="majorHAnsi" w:hAnsiTheme="majorHAnsi"/>
          <w:sz w:val="20"/>
          <w:szCs w:val="20"/>
        </w:rPr>
      </w:pPr>
      <w:r>
        <w:rPr>
          <w:rFonts w:asciiTheme="majorHAnsi" w:hAnsiTheme="majorHAnsi"/>
          <w:sz w:val="20"/>
          <w:szCs w:val="20"/>
        </w:rPr>
        <w:t>Log into the Citrix portal with your TGH network credentials (alpha-numeric badge ID username and password).</w:t>
      </w:r>
    </w:p>
    <w:p w:rsidR="00E70DE5" w:rsidRDefault="00E70DE5" w:rsidP="00E70DE5">
      <w:pPr>
        <w:pStyle w:val="ListParagraph"/>
        <w:numPr>
          <w:ilvl w:val="1"/>
          <w:numId w:val="6"/>
        </w:numPr>
        <w:rPr>
          <w:rFonts w:asciiTheme="majorHAnsi" w:hAnsiTheme="majorHAnsi"/>
          <w:sz w:val="20"/>
          <w:szCs w:val="20"/>
        </w:rPr>
      </w:pPr>
      <w:r>
        <w:rPr>
          <w:rFonts w:asciiTheme="majorHAnsi" w:hAnsiTheme="majorHAnsi"/>
          <w:sz w:val="20"/>
          <w:szCs w:val="20"/>
        </w:rPr>
        <w:t>If it’s your first time logging into the network, your user ID is your alpha-numeric badge number</w:t>
      </w:r>
      <w:r w:rsidR="00A13880">
        <w:rPr>
          <w:rFonts w:asciiTheme="majorHAnsi" w:hAnsiTheme="majorHAnsi"/>
          <w:sz w:val="20"/>
          <w:szCs w:val="20"/>
        </w:rPr>
        <w:t xml:space="preserve"> (</w:t>
      </w:r>
      <w:r w:rsidR="00905CE4">
        <w:rPr>
          <w:rFonts w:asciiTheme="majorHAnsi" w:hAnsiTheme="majorHAnsi"/>
          <w:sz w:val="20"/>
          <w:szCs w:val="20"/>
        </w:rPr>
        <w:t>example: f12456). It is your 6-digit badge number with the first number converted to a letter (conversion: 0=a, 1=b, 2=c, 3=d, 4=e, 5=f, etc.)</w:t>
      </w:r>
    </w:p>
    <w:p w:rsidR="00905CE4" w:rsidRDefault="00905CE4" w:rsidP="00E70DE5">
      <w:pPr>
        <w:pStyle w:val="ListParagraph"/>
        <w:numPr>
          <w:ilvl w:val="1"/>
          <w:numId w:val="6"/>
        </w:numPr>
        <w:rPr>
          <w:rFonts w:asciiTheme="majorHAnsi" w:hAnsiTheme="majorHAnsi"/>
          <w:sz w:val="20"/>
          <w:szCs w:val="20"/>
        </w:rPr>
      </w:pPr>
      <w:r>
        <w:rPr>
          <w:rFonts w:asciiTheme="majorHAnsi" w:hAnsiTheme="majorHAnsi"/>
          <w:sz w:val="20"/>
          <w:szCs w:val="20"/>
        </w:rPr>
        <w:t>Your default password is the first initial of your first name in upper case, the first initial of your last name in lower case, and the last 4 digits of your badge number</w:t>
      </w:r>
      <w:r w:rsidR="00257B37">
        <w:rPr>
          <w:rFonts w:asciiTheme="majorHAnsi" w:hAnsiTheme="majorHAnsi"/>
          <w:sz w:val="20"/>
          <w:szCs w:val="20"/>
        </w:rPr>
        <w:t xml:space="preserve"> (John Doe example = Jd2456).</w:t>
      </w:r>
    </w:p>
    <w:p w:rsidR="00257B37" w:rsidRDefault="00257B37" w:rsidP="00E70DE5">
      <w:pPr>
        <w:pStyle w:val="ListParagraph"/>
        <w:numPr>
          <w:ilvl w:val="1"/>
          <w:numId w:val="6"/>
        </w:numPr>
        <w:rPr>
          <w:rFonts w:asciiTheme="majorHAnsi" w:hAnsiTheme="majorHAnsi"/>
          <w:sz w:val="20"/>
          <w:szCs w:val="20"/>
        </w:rPr>
      </w:pPr>
      <w:r>
        <w:rPr>
          <w:rFonts w:asciiTheme="majorHAnsi" w:hAnsiTheme="majorHAnsi"/>
          <w:sz w:val="20"/>
          <w:szCs w:val="20"/>
        </w:rPr>
        <w:t>If your computer has never run Citrix before, you will be prompted to download the Citrix client. Just follow the prompted instructions (may take several minutes to install).</w:t>
      </w:r>
    </w:p>
    <w:p w:rsidR="00257B37" w:rsidRDefault="00257B37" w:rsidP="00257B37">
      <w:pPr>
        <w:pStyle w:val="ListParagraph"/>
        <w:numPr>
          <w:ilvl w:val="0"/>
          <w:numId w:val="6"/>
        </w:numPr>
        <w:rPr>
          <w:rFonts w:asciiTheme="majorHAnsi" w:hAnsiTheme="majorHAnsi"/>
          <w:sz w:val="20"/>
          <w:szCs w:val="20"/>
        </w:rPr>
      </w:pPr>
      <w:r>
        <w:rPr>
          <w:rFonts w:asciiTheme="majorHAnsi" w:hAnsiTheme="majorHAnsi"/>
          <w:sz w:val="20"/>
          <w:szCs w:val="20"/>
        </w:rPr>
        <w:t>Once logged into the TGH Citrix portal, the Epic Hyperspace icon will be available. Click the icon to start your session.</w:t>
      </w:r>
    </w:p>
    <w:p w:rsidR="00257B37" w:rsidRDefault="00257B37" w:rsidP="00257B37">
      <w:pPr>
        <w:pStyle w:val="ListParagraph"/>
        <w:numPr>
          <w:ilvl w:val="0"/>
          <w:numId w:val="6"/>
        </w:numPr>
        <w:rPr>
          <w:rFonts w:asciiTheme="majorHAnsi" w:hAnsiTheme="majorHAnsi"/>
          <w:sz w:val="20"/>
          <w:szCs w:val="20"/>
        </w:rPr>
      </w:pPr>
      <w:r>
        <w:rPr>
          <w:rFonts w:asciiTheme="majorHAnsi" w:hAnsiTheme="majorHAnsi"/>
          <w:sz w:val="20"/>
          <w:szCs w:val="20"/>
        </w:rPr>
        <w:t>Once the session starts, log into Hyperspace with the same TGH network credentials that you used to log into the Citrix portal.</w:t>
      </w:r>
    </w:p>
    <w:p w:rsidR="00257B37" w:rsidRPr="00E70DE5" w:rsidRDefault="00257B37" w:rsidP="00257B37">
      <w:pPr>
        <w:pStyle w:val="ListParagraph"/>
        <w:numPr>
          <w:ilvl w:val="0"/>
          <w:numId w:val="6"/>
        </w:numPr>
        <w:rPr>
          <w:rFonts w:asciiTheme="majorHAnsi" w:hAnsiTheme="majorHAnsi"/>
          <w:sz w:val="20"/>
          <w:szCs w:val="20"/>
        </w:rPr>
      </w:pPr>
      <w:r>
        <w:rPr>
          <w:rFonts w:asciiTheme="majorHAnsi" w:hAnsiTheme="majorHAnsi"/>
          <w:sz w:val="20"/>
          <w:szCs w:val="20"/>
        </w:rPr>
        <w:t>If you need further assistance, please call the TGH technical support center at 813-844-7490.</w:t>
      </w:r>
    </w:p>
    <w:p w:rsidR="00AC2290" w:rsidRDefault="00AC2290" w:rsidP="00AC2290">
      <w:pPr>
        <w:spacing w:line="240" w:lineRule="auto"/>
        <w:rPr>
          <w:rFonts w:asciiTheme="majorHAnsi" w:hAnsiTheme="majorHAnsi"/>
          <w:sz w:val="20"/>
          <w:szCs w:val="20"/>
        </w:rPr>
      </w:pPr>
      <w:r>
        <w:rPr>
          <w:rFonts w:asciiTheme="majorHAnsi" w:hAnsiTheme="majorHAnsi"/>
          <w:b/>
          <w:i/>
          <w:sz w:val="20"/>
          <w:szCs w:val="20"/>
        </w:rPr>
        <w:t>Monitor access to Epic</w:t>
      </w:r>
      <w:r w:rsidRPr="00AC2290">
        <w:rPr>
          <w:rFonts w:asciiTheme="majorHAnsi" w:hAnsiTheme="majorHAnsi"/>
          <w:b/>
          <w:i/>
          <w:sz w:val="20"/>
          <w:szCs w:val="20"/>
        </w:rPr>
        <w:t>:</w:t>
      </w:r>
      <w:r>
        <w:rPr>
          <w:rFonts w:asciiTheme="majorHAnsi" w:hAnsiTheme="majorHAnsi"/>
          <w:sz w:val="20"/>
          <w:szCs w:val="20"/>
        </w:rPr>
        <w:t xml:space="preserve"> </w:t>
      </w:r>
    </w:p>
    <w:p w:rsidR="00036D00" w:rsidRPr="00AC2290" w:rsidRDefault="00AC2290" w:rsidP="00AC2290">
      <w:pPr>
        <w:pStyle w:val="ListParagraph"/>
        <w:numPr>
          <w:ilvl w:val="0"/>
          <w:numId w:val="10"/>
        </w:numPr>
        <w:rPr>
          <w:rFonts w:asciiTheme="majorHAnsi" w:hAnsiTheme="majorHAnsi"/>
          <w:sz w:val="24"/>
        </w:rPr>
      </w:pPr>
      <w:r w:rsidRPr="00AC2290">
        <w:rPr>
          <w:rFonts w:asciiTheme="majorHAnsi" w:hAnsiTheme="majorHAnsi"/>
          <w:sz w:val="20"/>
          <w:szCs w:val="20"/>
        </w:rPr>
        <w:t xml:space="preserve">Please contact the TGH Office of Clinical Research at 813-844-7989 or </w:t>
      </w:r>
      <w:hyperlink r:id="rId8" w:history="1">
        <w:r w:rsidRPr="00AC2290">
          <w:rPr>
            <w:rStyle w:val="Hyperlink"/>
            <w:rFonts w:asciiTheme="majorHAnsi" w:hAnsiTheme="majorHAnsi"/>
            <w:sz w:val="20"/>
            <w:szCs w:val="20"/>
          </w:rPr>
          <w:t>research@tgh.org</w:t>
        </w:r>
      </w:hyperlink>
      <w:r w:rsidRPr="00AC2290">
        <w:rPr>
          <w:rFonts w:asciiTheme="majorHAnsi" w:hAnsiTheme="majorHAnsi"/>
          <w:sz w:val="20"/>
          <w:szCs w:val="20"/>
        </w:rPr>
        <w:t xml:space="preserve"> if your monitor needs access to Epic or </w:t>
      </w:r>
      <w:proofErr w:type="spellStart"/>
      <w:r w:rsidRPr="00AC2290">
        <w:rPr>
          <w:rFonts w:asciiTheme="majorHAnsi" w:hAnsiTheme="majorHAnsi"/>
          <w:sz w:val="20"/>
          <w:szCs w:val="20"/>
        </w:rPr>
        <w:t>Chartview</w:t>
      </w:r>
      <w:proofErr w:type="spellEnd"/>
      <w:r w:rsidRPr="00AC2290">
        <w:rPr>
          <w:rFonts w:asciiTheme="majorHAnsi" w:hAnsiTheme="majorHAnsi"/>
          <w:sz w:val="20"/>
          <w:szCs w:val="20"/>
        </w:rPr>
        <w:t xml:space="preserve">. </w:t>
      </w:r>
    </w:p>
    <w:sectPr w:rsidR="00036D00" w:rsidRPr="00AC2290" w:rsidSect="00036D0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159"/>
    <w:multiLevelType w:val="hybridMultilevel"/>
    <w:tmpl w:val="BA28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26B13"/>
    <w:multiLevelType w:val="hybridMultilevel"/>
    <w:tmpl w:val="102CB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E0878"/>
    <w:multiLevelType w:val="hybridMultilevel"/>
    <w:tmpl w:val="2C923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D2A28"/>
    <w:multiLevelType w:val="hybridMultilevel"/>
    <w:tmpl w:val="D73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F0651"/>
    <w:multiLevelType w:val="hybridMultilevel"/>
    <w:tmpl w:val="F69A3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705FCB"/>
    <w:multiLevelType w:val="hybridMultilevel"/>
    <w:tmpl w:val="5B182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F12EA4"/>
    <w:multiLevelType w:val="hybridMultilevel"/>
    <w:tmpl w:val="C576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043890"/>
    <w:multiLevelType w:val="hybridMultilevel"/>
    <w:tmpl w:val="0F56C7A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74D33"/>
    <w:multiLevelType w:val="hybridMultilevel"/>
    <w:tmpl w:val="B5A4C5EA"/>
    <w:lvl w:ilvl="0" w:tplc="BF605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BF5771"/>
    <w:multiLevelType w:val="hybridMultilevel"/>
    <w:tmpl w:val="8AE62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9"/>
  </w:num>
  <w:num w:numId="8">
    <w:abstractNumId w:val="8"/>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8B34D8"/>
    <w:rsid w:val="00036D00"/>
    <w:rsid w:val="00090E3A"/>
    <w:rsid w:val="000D549B"/>
    <w:rsid w:val="00115519"/>
    <w:rsid w:val="00180F4C"/>
    <w:rsid w:val="00257B37"/>
    <w:rsid w:val="002C0753"/>
    <w:rsid w:val="002E5479"/>
    <w:rsid w:val="003576E3"/>
    <w:rsid w:val="003B510B"/>
    <w:rsid w:val="00532E69"/>
    <w:rsid w:val="005C7961"/>
    <w:rsid w:val="00777F9E"/>
    <w:rsid w:val="007C1AEF"/>
    <w:rsid w:val="008B34D8"/>
    <w:rsid w:val="00905CE4"/>
    <w:rsid w:val="00921ED2"/>
    <w:rsid w:val="00987CB5"/>
    <w:rsid w:val="00A13880"/>
    <w:rsid w:val="00A64F8E"/>
    <w:rsid w:val="00A656A4"/>
    <w:rsid w:val="00AB1996"/>
    <w:rsid w:val="00AC2290"/>
    <w:rsid w:val="00BF608A"/>
    <w:rsid w:val="00CB717E"/>
    <w:rsid w:val="00D16E20"/>
    <w:rsid w:val="00E70DE5"/>
    <w:rsid w:val="00EE6BAA"/>
    <w:rsid w:val="00FB3CA0"/>
    <w:rsid w:val="00FE0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D8"/>
    <w:pPr>
      <w:ind w:left="720"/>
      <w:contextualSpacing/>
    </w:pPr>
  </w:style>
  <w:style w:type="paragraph" w:styleId="BalloonText">
    <w:name w:val="Balloon Text"/>
    <w:basedOn w:val="Normal"/>
    <w:link w:val="BalloonTextChar"/>
    <w:uiPriority w:val="99"/>
    <w:semiHidden/>
    <w:unhideWhenUsed/>
    <w:rsid w:val="00036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D00"/>
    <w:rPr>
      <w:rFonts w:ascii="Tahoma" w:hAnsi="Tahoma" w:cs="Tahoma"/>
      <w:sz w:val="16"/>
      <w:szCs w:val="16"/>
    </w:rPr>
  </w:style>
  <w:style w:type="character" w:styleId="Hyperlink">
    <w:name w:val="Hyperlink"/>
    <w:basedOn w:val="DefaultParagraphFont"/>
    <w:uiPriority w:val="99"/>
    <w:unhideWhenUsed/>
    <w:rsid w:val="00E70D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71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tgh.org" TargetMode="External"/><Relationship Id="rId3" Type="http://schemas.openxmlformats.org/officeDocument/2006/relationships/settings" Target="settings.xml"/><Relationship Id="rId7" Type="http://schemas.openxmlformats.org/officeDocument/2006/relationships/hyperlink" Target="https://connect.tg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tgh.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Tampa General Hospital</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Patel</dc:creator>
  <cp:keywords/>
  <dc:description/>
  <cp:lastModifiedBy>c80162</cp:lastModifiedBy>
  <cp:revision>8</cp:revision>
  <dcterms:created xsi:type="dcterms:W3CDTF">2011-09-22T14:12:00Z</dcterms:created>
  <dcterms:modified xsi:type="dcterms:W3CDTF">2013-02-01T16:07:00Z</dcterms:modified>
</cp:coreProperties>
</file>