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0721" w14:textId="77777777" w:rsidR="007D63BC" w:rsidRDefault="007D63BC" w:rsidP="00D91245">
      <w:pPr>
        <w:jc w:val="center"/>
        <w:rPr>
          <w:b/>
          <w:bCs/>
          <w:color w:val="0000CC"/>
          <w:sz w:val="32"/>
          <w:szCs w:val="32"/>
        </w:rPr>
      </w:pPr>
    </w:p>
    <w:p w14:paraId="05D18701" w14:textId="69E8E0FC" w:rsidR="007D4C7D" w:rsidRDefault="3C1EA8A2" w:rsidP="007D63BC">
      <w:pPr>
        <w:rPr>
          <w:b/>
          <w:bCs/>
          <w:color w:val="0000CC"/>
          <w:sz w:val="32"/>
          <w:szCs w:val="32"/>
        </w:rPr>
      </w:pPr>
      <w:r w:rsidRPr="39749E5A">
        <w:rPr>
          <w:b/>
          <w:bCs/>
          <w:color w:val="0000CC"/>
          <w:sz w:val="32"/>
          <w:szCs w:val="32"/>
        </w:rPr>
        <w:t>Tampa General Hospital Health System Sponsorship &amp; Social Investment Eligibility Criteria</w:t>
      </w:r>
    </w:p>
    <w:p w14:paraId="5B21A793" w14:textId="6C0568C5" w:rsidR="00D91245" w:rsidRDefault="3C1EA8A2" w:rsidP="00D91245">
      <w:pPr>
        <w:pStyle w:val="NormalWeb"/>
      </w:pPr>
      <w:r>
        <w:t>At Tampa General Hospital (TGH), we are more than just a health system; we are a cornerstone of health and well-being for our region. As a non-profit institution, our mission extends beyond treating illness to proactively fostering a healthier, more vibrant community for all. We believe that true community health encompasses not only advanced medical care but also access to education, preventative programs, support services, and initiatives that address the social determinants of health.</w:t>
      </w:r>
    </w:p>
    <w:p w14:paraId="352694EF" w14:textId="70BD084B" w:rsidR="00D91245" w:rsidRDefault="00D91245" w:rsidP="00D91245">
      <w:pPr>
        <w:pStyle w:val="NormalWeb"/>
      </w:pPr>
      <w:r>
        <w:t>This document serves as the application guide for organizations seeking sponsorship and social investment from the TGH Health System. Through strategic partnerships, we aim to extend our reach and impact, collaborating with like-minded entities to address critical community health needs, promote wellness, and enhance the quality of life for our neighbors.</w:t>
      </w:r>
    </w:p>
    <w:p w14:paraId="5452BD61" w14:textId="77777777" w:rsidR="00D91245" w:rsidRPr="00D91245" w:rsidRDefault="00D91245" w:rsidP="00D91245">
      <w:pPr>
        <w:pStyle w:val="NormalWeb"/>
      </w:pPr>
      <w:r w:rsidRPr="00D91245">
        <w:rPr>
          <w:b/>
          <w:bCs/>
        </w:rPr>
        <w:t>Our Commitment to Community Health and Well-being:</w:t>
      </w:r>
    </w:p>
    <w:p w14:paraId="053814EC" w14:textId="0E87FFF5" w:rsidR="00D91245" w:rsidRPr="00D91245" w:rsidRDefault="00D91245" w:rsidP="00D91245">
      <w:pPr>
        <w:pStyle w:val="NormalWeb"/>
      </w:pPr>
      <w:r>
        <w:t xml:space="preserve">TGH </w:t>
      </w:r>
      <w:r w:rsidRPr="00D91245">
        <w:t>is deeply committed to improving the health outcomes and overall vitality of the communities we serve. Our sponsorship and social investment initiatives are designed to support programs and projects that align with our core values and strategic priorities, including:</w:t>
      </w:r>
    </w:p>
    <w:p w14:paraId="53875DAD" w14:textId="3F313794" w:rsidR="00D91245" w:rsidRPr="00D91245" w:rsidRDefault="00D91245" w:rsidP="00D91245">
      <w:pPr>
        <w:pStyle w:val="NormalWeb"/>
        <w:numPr>
          <w:ilvl w:val="0"/>
          <w:numId w:val="1"/>
        </w:numPr>
      </w:pPr>
      <w:r w:rsidRPr="00D91245">
        <w:rPr>
          <w:b/>
          <w:bCs/>
        </w:rPr>
        <w:t>Advancing Health</w:t>
      </w:r>
      <w:r>
        <w:rPr>
          <w:b/>
          <w:bCs/>
        </w:rPr>
        <w:t xml:space="preserve"> of Our Community</w:t>
      </w:r>
      <w:r w:rsidRPr="00D91245">
        <w:rPr>
          <w:b/>
          <w:bCs/>
        </w:rPr>
        <w:t>:</w:t>
      </w:r>
      <w:r w:rsidRPr="00D91245">
        <w:t xml:space="preserve"> Supporting initiatives that reduce </w:t>
      </w:r>
      <w:r w:rsidR="00922CB3">
        <w:t xml:space="preserve">gaps ij </w:t>
      </w:r>
      <w:r w:rsidRPr="00D91245">
        <w:t>health</w:t>
      </w:r>
      <w:r w:rsidR="00922CB3">
        <w:t>care</w:t>
      </w:r>
      <w:r w:rsidRPr="00D91245">
        <w:t xml:space="preserve"> and ensure access to care and wellness resources for all segments of our population.</w:t>
      </w:r>
    </w:p>
    <w:p w14:paraId="0B219BAE" w14:textId="77777777" w:rsidR="00D91245" w:rsidRPr="00D91245" w:rsidRDefault="00D91245" w:rsidP="00D91245">
      <w:pPr>
        <w:pStyle w:val="NormalWeb"/>
        <w:numPr>
          <w:ilvl w:val="0"/>
          <w:numId w:val="1"/>
        </w:numPr>
      </w:pPr>
      <w:r w:rsidRPr="00D91245">
        <w:rPr>
          <w:b/>
          <w:bCs/>
        </w:rPr>
        <w:t>Promoting Preventative Health and Wellness:</w:t>
      </w:r>
      <w:r w:rsidRPr="00D91245">
        <w:t xml:space="preserve"> Investing in programs that educate the community on healthy lifestyles, disease prevention, and early intervention.</w:t>
      </w:r>
    </w:p>
    <w:p w14:paraId="235E0FEB" w14:textId="39E4A61D" w:rsidR="00D91245" w:rsidRPr="00D91245" w:rsidRDefault="00D91245" w:rsidP="00D91245">
      <w:pPr>
        <w:pStyle w:val="NormalWeb"/>
        <w:numPr>
          <w:ilvl w:val="0"/>
          <w:numId w:val="1"/>
        </w:numPr>
      </w:pPr>
      <w:r w:rsidRPr="00D91245">
        <w:rPr>
          <w:b/>
          <w:bCs/>
        </w:rPr>
        <w:t>Addressing Social D</w:t>
      </w:r>
      <w:r w:rsidR="00B97C63">
        <w:rPr>
          <w:b/>
          <w:bCs/>
        </w:rPr>
        <w:t>rivers</w:t>
      </w:r>
      <w:r w:rsidRPr="00D91245">
        <w:rPr>
          <w:b/>
          <w:bCs/>
        </w:rPr>
        <w:t xml:space="preserve"> of Health:</w:t>
      </w:r>
      <w:r w:rsidRPr="00D91245">
        <w:t xml:space="preserve"> Partnering with organizations that tackle root causes of poor health, such as food insecurity, lack of affordable housing, access to education, and economic stability.</w:t>
      </w:r>
    </w:p>
    <w:p w14:paraId="6A957C91" w14:textId="77777777" w:rsidR="00D91245" w:rsidRPr="00D91245" w:rsidRDefault="00D91245" w:rsidP="00D91245">
      <w:pPr>
        <w:pStyle w:val="NormalWeb"/>
        <w:numPr>
          <w:ilvl w:val="0"/>
          <w:numId w:val="1"/>
        </w:numPr>
      </w:pPr>
      <w:r w:rsidRPr="00D91245">
        <w:rPr>
          <w:b/>
          <w:bCs/>
        </w:rPr>
        <w:t>Enhancing Patient and Family Support:</w:t>
      </w:r>
      <w:r w:rsidRPr="00D91245">
        <w:t xml:space="preserve"> Sponsoring programs that provide crucial support services for patients and their families, both within and outside the hospital setting.</w:t>
      </w:r>
    </w:p>
    <w:p w14:paraId="03D8AA7C" w14:textId="77777777" w:rsidR="00D91245" w:rsidRPr="00D91245" w:rsidRDefault="00D91245" w:rsidP="00D91245">
      <w:pPr>
        <w:pStyle w:val="NormalWeb"/>
        <w:numPr>
          <w:ilvl w:val="0"/>
          <w:numId w:val="1"/>
        </w:numPr>
      </w:pPr>
      <w:r w:rsidRPr="00D91245">
        <w:rPr>
          <w:b/>
          <w:bCs/>
        </w:rPr>
        <w:t>Fostering Community Resilience:</w:t>
      </w:r>
      <w:r w:rsidRPr="00D91245">
        <w:t xml:space="preserve"> Contributing to initiatives that strengthen the social fabric and overall well-being of our community, reflecting our dedication as a responsible corporate citizen.</w:t>
      </w:r>
    </w:p>
    <w:p w14:paraId="10F316DA" w14:textId="31EDEBC0" w:rsidR="00D91245" w:rsidRDefault="00D91245" w:rsidP="00D91245">
      <w:pPr>
        <w:pStyle w:val="NormalWeb"/>
        <w:numPr>
          <w:ilvl w:val="0"/>
          <w:numId w:val="1"/>
        </w:numPr>
      </w:pPr>
      <w:r w:rsidRPr="00D91245">
        <w:rPr>
          <w:b/>
          <w:bCs/>
        </w:rPr>
        <w:t>Building a Healthier Future:</w:t>
      </w:r>
      <w:r w:rsidRPr="00D91245">
        <w:t xml:space="preserve"> Collaborating on innovative solutions that anticipate future health challenges and build a more resilient healthcare ecosystem</w:t>
      </w:r>
      <w:r>
        <w:t xml:space="preserve"> and workforce</w:t>
      </w:r>
      <w:r w:rsidRPr="00D91245">
        <w:t>.</w:t>
      </w:r>
    </w:p>
    <w:p w14:paraId="694137CD" w14:textId="77777777" w:rsidR="005C3A94" w:rsidRDefault="005C3A94" w:rsidP="00D91245">
      <w:pPr>
        <w:pStyle w:val="NormalWeb"/>
        <w:rPr>
          <w:b/>
          <w:bCs/>
        </w:rPr>
      </w:pPr>
    </w:p>
    <w:p w14:paraId="5C41F275" w14:textId="3899398A" w:rsidR="00D91245" w:rsidRPr="00D91245" w:rsidRDefault="00A34B6E" w:rsidP="00D91245">
      <w:pPr>
        <w:pStyle w:val="NormalWeb"/>
      </w:pPr>
      <w:r>
        <w:rPr>
          <w:b/>
          <w:bCs/>
        </w:rPr>
        <w:t>W</w:t>
      </w:r>
      <w:r w:rsidR="00D91245" w:rsidRPr="00D91245">
        <w:rPr>
          <w:b/>
          <w:bCs/>
        </w:rPr>
        <w:t>hat We Look For:</w:t>
      </w:r>
    </w:p>
    <w:p w14:paraId="68FF63A5" w14:textId="3EB90405" w:rsidR="00D91245" w:rsidRDefault="00D91245" w:rsidP="00D91245">
      <w:pPr>
        <w:pStyle w:val="NormalWeb"/>
      </w:pPr>
      <w:r w:rsidRPr="00D91245">
        <w:t xml:space="preserve">We welcome </w:t>
      </w:r>
      <w:hyperlink r:id="rId10" w:history="1">
        <w:r w:rsidRPr="00F81D36">
          <w:rPr>
            <w:rStyle w:val="Hyperlink"/>
            <w:color w:val="0000CC"/>
          </w:rPr>
          <w:t>applications</w:t>
        </w:r>
      </w:hyperlink>
      <w:r w:rsidRPr="00F81D36">
        <w:rPr>
          <w:color w:val="0000CC"/>
        </w:rPr>
        <w:t xml:space="preserve"> </w:t>
      </w:r>
      <w:r w:rsidRPr="00D91245">
        <w:t>from non-profit organizations, charitable initiatives, community groups, and other entities that are legally established and demonstrate a strong track record of effective program delivery. Idea</w:t>
      </w:r>
      <w:r>
        <w:t>l sponsorship and social investment proposals will include:</w:t>
      </w:r>
    </w:p>
    <w:p w14:paraId="452B1016" w14:textId="19C7C3A0" w:rsidR="00D91245" w:rsidRDefault="00D91245" w:rsidP="00D91245">
      <w:pPr>
        <w:pStyle w:val="NormalWeb"/>
        <w:numPr>
          <w:ilvl w:val="0"/>
          <w:numId w:val="3"/>
        </w:numPr>
      </w:pPr>
      <w:r>
        <w:t xml:space="preserve">Event </w:t>
      </w:r>
      <w:r w:rsidR="00B33399">
        <w:t>d</w:t>
      </w:r>
      <w:r>
        <w:t>etails</w:t>
      </w:r>
    </w:p>
    <w:p w14:paraId="25BAD1AC" w14:textId="1FA79B61" w:rsidR="00D91245" w:rsidRDefault="00D91245" w:rsidP="00D91245">
      <w:pPr>
        <w:pStyle w:val="NormalWeb"/>
        <w:numPr>
          <w:ilvl w:val="0"/>
          <w:numId w:val="3"/>
        </w:numPr>
      </w:pPr>
      <w:r>
        <w:t xml:space="preserve">Contribution </w:t>
      </w:r>
      <w:r w:rsidR="00B33399">
        <w:t>l</w:t>
      </w:r>
      <w:r>
        <w:t xml:space="preserve">evels and </w:t>
      </w:r>
      <w:r w:rsidR="00B33399">
        <w:t>a</w:t>
      </w:r>
      <w:r>
        <w:t xml:space="preserve">ssociated </w:t>
      </w:r>
      <w:r w:rsidR="00B33399">
        <w:t>b</w:t>
      </w:r>
      <w:r>
        <w:t>enefits</w:t>
      </w:r>
    </w:p>
    <w:p w14:paraId="0FF7E0FA" w14:textId="4F94F5D7" w:rsidR="00D91245" w:rsidRDefault="00D91245" w:rsidP="00D91245">
      <w:pPr>
        <w:pStyle w:val="NormalWeb"/>
        <w:numPr>
          <w:ilvl w:val="0"/>
          <w:numId w:val="3"/>
        </w:numPr>
      </w:pPr>
      <w:r>
        <w:t xml:space="preserve">Detailed </w:t>
      </w:r>
      <w:r w:rsidR="00B33399">
        <w:t>a</w:t>
      </w:r>
      <w:r>
        <w:t xml:space="preserve">d </w:t>
      </w:r>
      <w:r w:rsidR="00B33399">
        <w:t>s</w:t>
      </w:r>
      <w:r>
        <w:t xml:space="preserve">pecs and </w:t>
      </w:r>
      <w:r w:rsidR="00B33399">
        <w:t>d</w:t>
      </w:r>
      <w:r>
        <w:t xml:space="preserve">eadline for </w:t>
      </w:r>
      <w:r w:rsidR="00B33399">
        <w:t>d</w:t>
      </w:r>
      <w:r>
        <w:t>eliverables, if applicable</w:t>
      </w:r>
    </w:p>
    <w:p w14:paraId="402EBEF1" w14:textId="1137E6B1" w:rsidR="00D91245" w:rsidRDefault="00D91245" w:rsidP="00D91245">
      <w:pPr>
        <w:pStyle w:val="NormalWeb"/>
        <w:numPr>
          <w:ilvl w:val="0"/>
          <w:numId w:val="3"/>
        </w:numPr>
      </w:pPr>
      <w:r>
        <w:t xml:space="preserve">Impact </w:t>
      </w:r>
      <w:r w:rsidR="00B33399">
        <w:t>r</w:t>
      </w:r>
      <w:r>
        <w:t xml:space="preserve">eport from </w:t>
      </w:r>
      <w:r w:rsidR="00B33399">
        <w:t>p</w:t>
      </w:r>
      <w:r>
        <w:t xml:space="preserve">revious </w:t>
      </w:r>
      <w:r w:rsidR="00B33399">
        <w:t>y</w:t>
      </w:r>
      <w:r>
        <w:t>ear</w:t>
      </w:r>
    </w:p>
    <w:p w14:paraId="75D1F283" w14:textId="31201474" w:rsidR="00D91245" w:rsidRDefault="00D91245" w:rsidP="00D91245">
      <w:pPr>
        <w:pStyle w:val="NormalWeb"/>
        <w:rPr>
          <w:b/>
          <w:bCs/>
        </w:rPr>
      </w:pPr>
      <w:r w:rsidRPr="00D91245">
        <w:rPr>
          <w:b/>
          <w:bCs/>
        </w:rPr>
        <w:t>Sponsorship &amp; Social Investment Eligibility Criteria:</w:t>
      </w:r>
    </w:p>
    <w:p w14:paraId="5BF1CDD8" w14:textId="40A03707" w:rsidR="00D91245" w:rsidRPr="00C17211" w:rsidRDefault="00D91245" w:rsidP="00D91245">
      <w:pPr>
        <w:pStyle w:val="NormalWeb"/>
        <w:rPr>
          <w:b/>
          <w:bCs/>
        </w:rPr>
      </w:pPr>
      <w:r w:rsidRPr="00D91245">
        <w:t xml:space="preserve">The criteria below have been developed to ensure that dollars provided to community organizations align with </w:t>
      </w:r>
      <w:r>
        <w:t xml:space="preserve">the TGH Health System </w:t>
      </w:r>
      <w:r w:rsidRPr="00D91245">
        <w:t>as an organization.</w:t>
      </w:r>
    </w:p>
    <w:p w14:paraId="63C27436" w14:textId="78C88F77" w:rsidR="00BB22D4" w:rsidRPr="00C17211" w:rsidRDefault="00BB22D4" w:rsidP="00242767">
      <w:pPr>
        <w:pStyle w:val="NormalWeb"/>
        <w:numPr>
          <w:ilvl w:val="0"/>
          <w:numId w:val="4"/>
        </w:numPr>
        <w:spacing w:before="0" w:beforeAutospacing="0" w:after="0" w:afterAutospacing="0"/>
        <w:ind w:left="360" w:firstLine="0"/>
        <w:rPr>
          <w:b/>
          <w:bCs/>
        </w:rPr>
      </w:pPr>
      <w:r w:rsidRPr="00C17211">
        <w:rPr>
          <w:b/>
          <w:bCs/>
        </w:rPr>
        <w:t xml:space="preserve">Alignment with TGH </w:t>
      </w:r>
      <w:r w:rsidR="00C17211">
        <w:rPr>
          <w:b/>
          <w:bCs/>
        </w:rPr>
        <w:t>Health System’s s</w:t>
      </w:r>
      <w:r w:rsidRPr="00C17211">
        <w:rPr>
          <w:b/>
          <w:bCs/>
        </w:rPr>
        <w:t xml:space="preserve">trategic </w:t>
      </w:r>
      <w:r w:rsidR="00C17211">
        <w:rPr>
          <w:b/>
          <w:bCs/>
        </w:rPr>
        <w:t>p</w:t>
      </w:r>
      <w:r w:rsidRPr="00C17211">
        <w:rPr>
          <w:b/>
          <w:bCs/>
        </w:rPr>
        <w:t>riorities</w:t>
      </w:r>
      <w:r w:rsidR="00C17211">
        <w:rPr>
          <w:b/>
          <w:bCs/>
        </w:rPr>
        <w:t>:</w:t>
      </w:r>
      <w:r w:rsidRPr="00C17211">
        <w:rPr>
          <w:b/>
          <w:bCs/>
        </w:rPr>
        <w:t> </w:t>
      </w:r>
    </w:p>
    <w:p w14:paraId="7F8BCBEF" w14:textId="450ABD47" w:rsidR="00373FC8" w:rsidRDefault="00104EED" w:rsidP="00C17211">
      <w:pPr>
        <w:pStyle w:val="NormalWeb"/>
        <w:numPr>
          <w:ilvl w:val="1"/>
          <w:numId w:val="4"/>
        </w:numPr>
        <w:spacing w:before="480" w:beforeAutospacing="0" w:after="480" w:afterAutospacing="0"/>
        <w:ind w:left="1440"/>
      </w:pPr>
      <w:r>
        <w:t xml:space="preserve">The </w:t>
      </w:r>
      <w:r w:rsidR="00BB22D4" w:rsidRPr="00C17211">
        <w:t xml:space="preserve">TGH Health System supports requests that align with our mission and goals, </w:t>
      </w:r>
      <w:r w:rsidR="00C17211" w:rsidRPr="00C17211">
        <w:t>the most</w:t>
      </w:r>
      <w:r w:rsidR="00BB22D4" w:rsidRPr="00C17211">
        <w:t xml:space="preserve"> recent C</w:t>
      </w:r>
      <w:r w:rsidR="00C17211">
        <w:t xml:space="preserve">ommunity </w:t>
      </w:r>
      <w:r w:rsidR="00BB22D4" w:rsidRPr="00C17211">
        <w:t>H</w:t>
      </w:r>
      <w:r w:rsidR="00C17211">
        <w:t xml:space="preserve">ealth </w:t>
      </w:r>
      <w:r w:rsidR="00BB22D4" w:rsidRPr="00C17211">
        <w:t>N</w:t>
      </w:r>
      <w:r w:rsidR="00C17211">
        <w:t xml:space="preserve">eeds </w:t>
      </w:r>
      <w:r w:rsidR="00BB22D4" w:rsidRPr="00C17211">
        <w:t>A</w:t>
      </w:r>
      <w:r w:rsidR="00C17211">
        <w:t>ssessment</w:t>
      </w:r>
      <w:r w:rsidR="00BB22D4" w:rsidRPr="00C17211">
        <w:t xml:space="preserve"> </w:t>
      </w:r>
      <w:r w:rsidR="00C17211">
        <w:t>(CHNA)</w:t>
      </w:r>
      <w:r w:rsidR="000869AF">
        <w:t xml:space="preserve">, identified </w:t>
      </w:r>
      <w:r w:rsidR="00BB22D4" w:rsidRPr="00C17211">
        <w:t>S</w:t>
      </w:r>
      <w:r w:rsidR="00C17211">
        <w:t xml:space="preserve">ocial </w:t>
      </w:r>
      <w:r w:rsidR="00BB22D4" w:rsidRPr="00C17211">
        <w:t>D</w:t>
      </w:r>
      <w:r>
        <w:t>rivers</w:t>
      </w:r>
      <w:r w:rsidR="00C17211">
        <w:t xml:space="preserve"> </w:t>
      </w:r>
      <w:r w:rsidR="00BB22D4" w:rsidRPr="00C17211">
        <w:t>o</w:t>
      </w:r>
      <w:r w:rsidR="00C17211">
        <w:t xml:space="preserve">f </w:t>
      </w:r>
      <w:r w:rsidR="00BB22D4" w:rsidRPr="00C17211">
        <w:t>H</w:t>
      </w:r>
      <w:r w:rsidR="00C17211">
        <w:t>ealth (SDoH)</w:t>
      </w:r>
      <w:r w:rsidR="00BB22D4" w:rsidRPr="00C17211">
        <w:t xml:space="preserve">, brand objectives, and/or </w:t>
      </w:r>
      <w:r>
        <w:t>TGH Institute i</w:t>
      </w:r>
      <w:r w:rsidR="00BB22D4" w:rsidRPr="00C17211">
        <w:t>mperatives.</w:t>
      </w:r>
    </w:p>
    <w:p w14:paraId="62143CA3" w14:textId="33575E77" w:rsidR="00373FC8" w:rsidRPr="00373FC8" w:rsidRDefault="00373FC8" w:rsidP="00373FC8">
      <w:pPr>
        <w:pStyle w:val="NormalWeb"/>
        <w:numPr>
          <w:ilvl w:val="0"/>
          <w:numId w:val="4"/>
        </w:numPr>
        <w:rPr>
          <w:b/>
          <w:bCs/>
        </w:rPr>
      </w:pPr>
      <w:r w:rsidRPr="00373FC8">
        <w:rPr>
          <w:b/>
          <w:bCs/>
        </w:rPr>
        <w:t xml:space="preserve">Sponsorships should fall into one of the following categories to be considered: </w:t>
      </w:r>
    </w:p>
    <w:p w14:paraId="4C7C7693" w14:textId="694B7BB1" w:rsidR="00373FC8" w:rsidRDefault="00373FC8" w:rsidP="00F81D36">
      <w:pPr>
        <w:pStyle w:val="NormalWeb"/>
        <w:numPr>
          <w:ilvl w:val="0"/>
          <w:numId w:val="5"/>
        </w:numPr>
        <w:spacing w:before="0" w:beforeAutospacing="0" w:after="120" w:afterAutospacing="0"/>
        <w:ind w:left="1440"/>
      </w:pPr>
      <w:r w:rsidRPr="00373FC8">
        <w:t xml:space="preserve">CHNA </w:t>
      </w:r>
      <w:r w:rsidR="000B16BC">
        <w:t xml:space="preserve">and SDoH </w:t>
      </w:r>
      <w:r w:rsidRPr="00373FC8">
        <w:t xml:space="preserve">priority-related funding: </w:t>
      </w:r>
    </w:p>
    <w:p w14:paraId="5F0ECA18" w14:textId="0E17C851" w:rsidR="00373FC8" w:rsidRDefault="00373FC8" w:rsidP="00B617B6">
      <w:pPr>
        <w:pStyle w:val="NormalWeb"/>
        <w:numPr>
          <w:ilvl w:val="2"/>
          <w:numId w:val="5"/>
        </w:numPr>
        <w:spacing w:before="0" w:beforeAutospacing="0" w:after="240" w:afterAutospacing="0"/>
      </w:pPr>
      <w:r w:rsidRPr="00373FC8">
        <w:t xml:space="preserve">Do these dollars go toward addressing one of the top priorities identified in our </w:t>
      </w:r>
      <w:r w:rsidR="00045625">
        <w:t xml:space="preserve">most recent </w:t>
      </w:r>
      <w:r w:rsidRPr="00373FC8">
        <w:t xml:space="preserve">community health needs assessment? This includes addressing issues related to access to health services, </w:t>
      </w:r>
      <w:r>
        <w:t>behavioral health and substance misuse, exercise, n</w:t>
      </w:r>
      <w:r w:rsidRPr="00373FC8">
        <w:t>utrition, and weight</w:t>
      </w:r>
      <w:r>
        <w:t>, neighborhood &amp; built environment or education and workforce training</w:t>
      </w:r>
      <w:r w:rsidRPr="00373FC8">
        <w:t xml:space="preserve">. </w:t>
      </w:r>
    </w:p>
    <w:p w14:paraId="6A385B86" w14:textId="77777777" w:rsidR="00373FC8" w:rsidRDefault="00373FC8" w:rsidP="00F81D36">
      <w:pPr>
        <w:pStyle w:val="NormalWeb"/>
        <w:numPr>
          <w:ilvl w:val="0"/>
          <w:numId w:val="5"/>
        </w:numPr>
        <w:spacing w:before="0" w:beforeAutospacing="0" w:after="120" w:afterAutospacing="0"/>
        <w:ind w:left="1440"/>
      </w:pPr>
      <w:r w:rsidRPr="00373FC8">
        <w:t xml:space="preserve">Being good </w:t>
      </w:r>
      <w:r>
        <w:t>community partners</w:t>
      </w:r>
      <w:r w:rsidRPr="00373FC8">
        <w:t>:</w:t>
      </w:r>
    </w:p>
    <w:p w14:paraId="7881047C" w14:textId="627068F9" w:rsidR="00373FC8" w:rsidRDefault="00373FC8" w:rsidP="00373FC8">
      <w:pPr>
        <w:pStyle w:val="NormalWeb"/>
        <w:numPr>
          <w:ilvl w:val="2"/>
          <w:numId w:val="5"/>
        </w:numPr>
      </w:pPr>
      <w:r>
        <w:t xml:space="preserve">Will funding awarded </w:t>
      </w:r>
      <w:r w:rsidRPr="00373FC8">
        <w:t xml:space="preserve">support </w:t>
      </w:r>
      <w:r>
        <w:t>the TGH Health System’s mission</w:t>
      </w:r>
      <w:r w:rsidRPr="00373FC8">
        <w:t xml:space="preserve"> as an organization</w:t>
      </w:r>
      <w:r>
        <w:t>, s</w:t>
      </w:r>
      <w:r w:rsidRPr="00373FC8">
        <w:t>upport</w:t>
      </w:r>
      <w:r>
        <w:t xml:space="preserve"> coalition building efforts, and </w:t>
      </w:r>
      <w:r w:rsidRPr="00373FC8">
        <w:t>‘doing the right thing’ for the communities we serve?</w:t>
      </w:r>
    </w:p>
    <w:p w14:paraId="03C288F4" w14:textId="77777777" w:rsidR="00DB0559" w:rsidRDefault="00DB0559" w:rsidP="00DB0559">
      <w:pPr>
        <w:pStyle w:val="NormalWeb"/>
      </w:pPr>
    </w:p>
    <w:p w14:paraId="57282194" w14:textId="77777777" w:rsidR="00DB0559" w:rsidRDefault="00DB0559" w:rsidP="00DB0559">
      <w:pPr>
        <w:pStyle w:val="NormalWeb"/>
      </w:pPr>
    </w:p>
    <w:p w14:paraId="341CA21A" w14:textId="239483DE" w:rsidR="00C17211" w:rsidRPr="00DB0559" w:rsidRDefault="00373FC8" w:rsidP="00DB0559">
      <w:pPr>
        <w:pStyle w:val="NormalWeb"/>
        <w:numPr>
          <w:ilvl w:val="0"/>
          <w:numId w:val="4"/>
        </w:numPr>
        <w:spacing w:before="0" w:beforeAutospacing="0" w:after="120" w:afterAutospacing="0"/>
        <w:rPr>
          <w:b/>
        </w:rPr>
      </w:pPr>
      <w:r w:rsidRPr="00DB0559">
        <w:rPr>
          <w:b/>
          <w:bCs/>
        </w:rPr>
        <w:t xml:space="preserve">Will funds awarded stay in our community? </w:t>
      </w:r>
    </w:p>
    <w:p w14:paraId="080F9E20" w14:textId="7555BA13" w:rsidR="00373FC8" w:rsidRDefault="00373FC8" w:rsidP="00373FC8">
      <w:pPr>
        <w:pStyle w:val="NormalWeb"/>
        <w:numPr>
          <w:ilvl w:val="2"/>
          <w:numId w:val="4"/>
        </w:numPr>
        <w:ind w:left="1440"/>
      </w:pPr>
      <w:r>
        <w:t xml:space="preserve">TGH Health System’s mission </w:t>
      </w:r>
      <w:r w:rsidRPr="00373FC8">
        <w:t xml:space="preserve">as a not-for profit health care </w:t>
      </w:r>
      <w:r w:rsidR="00C17211" w:rsidRPr="00373FC8">
        <w:t>system</w:t>
      </w:r>
      <w:r w:rsidRPr="00373FC8">
        <w:t xml:space="preserve"> </w:t>
      </w:r>
      <w:r w:rsidR="00C17211">
        <w:t xml:space="preserve">includes investing </w:t>
      </w:r>
      <w:r w:rsidRPr="00373FC8">
        <w:t xml:space="preserve">in our community. Please provide a percentage of the dollars that are staying local on the </w:t>
      </w:r>
      <w:r w:rsidR="00C17211">
        <w:t>TGH Sponsorship and Social Investment A</w:t>
      </w:r>
      <w:r w:rsidRPr="00373FC8">
        <w:t xml:space="preserve">pplication and </w:t>
      </w:r>
      <w:r w:rsidR="00C17211">
        <w:t>list the program and how awarded</w:t>
      </w:r>
      <w:r w:rsidRPr="00373FC8">
        <w:t xml:space="preserve"> funds will be used. (“Local” is defined as being within</w:t>
      </w:r>
      <w:r w:rsidR="00C17211">
        <w:t xml:space="preserve"> Citrus, Hernando,</w:t>
      </w:r>
      <w:r w:rsidRPr="00373FC8">
        <w:t xml:space="preserve"> Hillsborough, </w:t>
      </w:r>
      <w:r w:rsidR="00C17211">
        <w:t xml:space="preserve">and/or </w:t>
      </w:r>
      <w:r w:rsidRPr="00373FC8">
        <w:t>Pinellas counties)</w:t>
      </w:r>
      <w:r w:rsidR="00AA3E8F">
        <w:t>.</w:t>
      </w:r>
    </w:p>
    <w:p w14:paraId="0A9234CD" w14:textId="77777777" w:rsidR="006B3068" w:rsidRDefault="006B3068" w:rsidP="00C17211">
      <w:pPr>
        <w:pStyle w:val="NormalWeb"/>
        <w:rPr>
          <w:b/>
          <w:bCs/>
        </w:rPr>
      </w:pPr>
    </w:p>
    <w:p w14:paraId="542E1F6F" w14:textId="77777777" w:rsidR="00C17211" w:rsidRDefault="00C17211" w:rsidP="00C17211">
      <w:pPr>
        <w:pStyle w:val="NormalWeb"/>
        <w:rPr>
          <w:b/>
          <w:bCs/>
        </w:rPr>
      </w:pPr>
      <w:r w:rsidRPr="00C17211">
        <w:rPr>
          <w:b/>
          <w:bCs/>
        </w:rPr>
        <w:t xml:space="preserve">Secondary Criteria </w:t>
      </w:r>
    </w:p>
    <w:p w14:paraId="01B0CD4E" w14:textId="2602FC80" w:rsidR="00C17211" w:rsidRDefault="00C17211" w:rsidP="00C17211">
      <w:pPr>
        <w:pStyle w:val="NormalWeb"/>
      </w:pPr>
      <w:r w:rsidRPr="00C17211">
        <w:t xml:space="preserve">The criteria </w:t>
      </w:r>
      <w:r>
        <w:t xml:space="preserve">listed </w:t>
      </w:r>
      <w:r w:rsidRPr="00C17211">
        <w:t>below will be reviewed with the application</w:t>
      </w:r>
      <w:r>
        <w:t xml:space="preserve"> submitted</w:t>
      </w:r>
      <w:r w:rsidRPr="00C17211">
        <w:t>, however, will not exclude the request from consideration.</w:t>
      </w:r>
    </w:p>
    <w:p w14:paraId="1F762B43" w14:textId="15DD3727" w:rsidR="00D91245" w:rsidRPr="00B54BCC" w:rsidRDefault="00C17211">
      <w:pPr>
        <w:pStyle w:val="NormalWeb"/>
        <w:numPr>
          <w:ilvl w:val="0"/>
          <w:numId w:val="7"/>
        </w:numPr>
        <w:rPr>
          <w:rFonts w:asciiTheme="minorHAnsi" w:hAnsiTheme="minorHAnsi"/>
        </w:rPr>
      </w:pPr>
      <w:r w:rsidRPr="00B54BCC">
        <w:rPr>
          <w:rFonts w:asciiTheme="minorHAnsi" w:hAnsiTheme="minorHAnsi"/>
        </w:rPr>
        <w:t xml:space="preserve">Was the application submitted at least 90 days prior to </w:t>
      </w:r>
      <w:r w:rsidRPr="00C17211">
        <w:rPr>
          <w:rFonts w:asciiTheme="minorHAnsi" w:hAnsiTheme="minorHAnsi"/>
        </w:rPr>
        <w:t xml:space="preserve">when the sponsorship funds are needed and/or event occurs? </w:t>
      </w:r>
    </w:p>
    <w:p w14:paraId="7F31E52B" w14:textId="6CDBCC18" w:rsidR="00C17211" w:rsidRPr="00B54BCC" w:rsidRDefault="00C17211" w:rsidP="00C17211">
      <w:pPr>
        <w:pStyle w:val="Default"/>
        <w:numPr>
          <w:ilvl w:val="0"/>
          <w:numId w:val="7"/>
        </w:numPr>
        <w:rPr>
          <w:rFonts w:asciiTheme="minorHAnsi" w:hAnsiTheme="minorHAnsi"/>
        </w:rPr>
      </w:pPr>
      <w:r w:rsidRPr="00B54BCC">
        <w:rPr>
          <w:rFonts w:asciiTheme="minorHAnsi" w:hAnsiTheme="minorHAnsi"/>
        </w:rPr>
        <w:t>Is the</w:t>
      </w:r>
      <w:r w:rsidR="00EC0D23">
        <w:rPr>
          <w:rFonts w:asciiTheme="minorHAnsi" w:hAnsiTheme="minorHAnsi"/>
        </w:rPr>
        <w:t xml:space="preserve"> </w:t>
      </w:r>
      <w:r w:rsidRPr="00B54BCC">
        <w:rPr>
          <w:rFonts w:asciiTheme="minorHAnsi" w:hAnsiTheme="minorHAnsi"/>
        </w:rPr>
        <w:t xml:space="preserve">organization </w:t>
      </w:r>
      <w:r w:rsidR="00997112">
        <w:rPr>
          <w:rFonts w:asciiTheme="minorHAnsi" w:hAnsiTheme="minorHAnsi"/>
        </w:rPr>
        <w:t xml:space="preserve">recognized as </w:t>
      </w:r>
      <w:r w:rsidRPr="00B54BCC">
        <w:rPr>
          <w:rFonts w:asciiTheme="minorHAnsi" w:hAnsiTheme="minorHAnsi"/>
        </w:rPr>
        <w:t xml:space="preserve">a 501(c)(3)? </w:t>
      </w:r>
    </w:p>
    <w:p w14:paraId="7DBE408C" w14:textId="3AB254F9" w:rsidR="00B54BCC" w:rsidRPr="00B54BCC" w:rsidRDefault="00B54BCC">
      <w:pPr>
        <w:pStyle w:val="NormalWeb"/>
        <w:numPr>
          <w:ilvl w:val="0"/>
          <w:numId w:val="7"/>
        </w:numPr>
        <w:rPr>
          <w:rFonts w:asciiTheme="minorHAnsi" w:hAnsiTheme="minorHAnsi"/>
        </w:rPr>
      </w:pPr>
      <w:r w:rsidRPr="00B54BCC">
        <w:rPr>
          <w:rFonts w:asciiTheme="minorHAnsi" w:hAnsiTheme="minorHAnsi"/>
        </w:rPr>
        <w:t xml:space="preserve">Is there an existing relationship between the organization and TGH Health System and/or TGH team members? </w:t>
      </w:r>
    </w:p>
    <w:p w14:paraId="36EBF852" w14:textId="2F445116" w:rsidR="00C17211" w:rsidRPr="00D91245" w:rsidRDefault="00B54BCC">
      <w:pPr>
        <w:pStyle w:val="Default"/>
        <w:numPr>
          <w:ilvl w:val="0"/>
          <w:numId w:val="7"/>
        </w:numPr>
        <w:rPr>
          <w:rFonts w:asciiTheme="minorHAnsi" w:hAnsiTheme="minorHAnsi" w:cs="Aptos"/>
          <w14:ligatures w14:val="none"/>
        </w:rPr>
      </w:pPr>
      <w:r w:rsidRPr="00B54BCC">
        <w:rPr>
          <w:rFonts w:asciiTheme="minorHAnsi" w:hAnsiTheme="minorHAnsi"/>
        </w:rPr>
        <w:t xml:space="preserve">Do the dollars support the TGH Health System brand or provide TGH </w:t>
      </w:r>
      <w:r w:rsidR="00B325CD">
        <w:rPr>
          <w:rFonts w:asciiTheme="minorHAnsi" w:hAnsiTheme="minorHAnsi"/>
        </w:rPr>
        <w:t xml:space="preserve">Health System </w:t>
      </w:r>
      <w:r w:rsidRPr="00B54BCC">
        <w:rPr>
          <w:rFonts w:asciiTheme="minorHAnsi" w:hAnsiTheme="minorHAnsi"/>
        </w:rPr>
        <w:t xml:space="preserve">with community engagement opportunities? This includes at the event and ongoing engagement opportunities. </w:t>
      </w:r>
    </w:p>
    <w:p w14:paraId="35383EA4" w14:textId="650F6E93" w:rsidR="00B54BCC" w:rsidRPr="00B54BCC" w:rsidRDefault="00B54BCC" w:rsidP="00B54BCC">
      <w:pPr>
        <w:pStyle w:val="NormalWeb"/>
        <w:rPr>
          <w:b/>
          <w:bCs/>
        </w:rPr>
      </w:pPr>
      <w:r w:rsidRPr="00B54BCC">
        <w:rPr>
          <w:b/>
          <w:bCs/>
        </w:rPr>
        <w:t>Ineligible Activities</w:t>
      </w:r>
      <w:r>
        <w:rPr>
          <w:b/>
          <w:bCs/>
        </w:rPr>
        <w:t xml:space="preserve"> or Requests</w:t>
      </w:r>
      <w:r w:rsidRPr="00B54BCC">
        <w:rPr>
          <w:b/>
          <w:bCs/>
        </w:rPr>
        <w:t xml:space="preserve"> </w:t>
      </w:r>
    </w:p>
    <w:p w14:paraId="49C7D9F1" w14:textId="18F8F08D" w:rsidR="00B54BCC" w:rsidRPr="00B54BCC" w:rsidRDefault="00B54BCC" w:rsidP="00B54BCC">
      <w:pPr>
        <w:pStyle w:val="NormalWeb"/>
      </w:pPr>
      <w:r w:rsidRPr="00B54BCC">
        <w:t xml:space="preserve">The following types of requests or activities don’t meet the criteria we’ve set for our sponsorship </w:t>
      </w:r>
      <w:r>
        <w:t xml:space="preserve">and social investment </w:t>
      </w:r>
      <w:r w:rsidRPr="00B54BCC">
        <w:t xml:space="preserve">program: </w:t>
      </w:r>
    </w:p>
    <w:p w14:paraId="1300CD84" w14:textId="7C81A348" w:rsidR="00B54BCC" w:rsidRDefault="00B54BCC" w:rsidP="00B54BCC">
      <w:pPr>
        <w:pStyle w:val="NormalWeb"/>
        <w:numPr>
          <w:ilvl w:val="0"/>
          <w:numId w:val="8"/>
        </w:numPr>
      </w:pPr>
      <w:r w:rsidRPr="00B54BCC">
        <w:t>Requests that benefit an individual person, family, school</w:t>
      </w:r>
      <w:r w:rsidR="00764DC0">
        <w:t>,</w:t>
      </w:r>
      <w:r w:rsidRPr="00B54BCC">
        <w:t xml:space="preserve"> or other narrow </w:t>
      </w:r>
      <w:r>
        <w:t xml:space="preserve">section </w:t>
      </w:r>
      <w:r w:rsidRPr="00B54BCC">
        <w:t xml:space="preserve">of our community </w:t>
      </w:r>
    </w:p>
    <w:p w14:paraId="586CB579" w14:textId="47933BFA" w:rsidR="00B54BCC" w:rsidRPr="00B54BCC" w:rsidRDefault="003D7717" w:rsidP="00B54BCC">
      <w:pPr>
        <w:pStyle w:val="NormalWeb"/>
        <w:numPr>
          <w:ilvl w:val="0"/>
          <w:numId w:val="8"/>
        </w:numPr>
      </w:pPr>
      <w:r>
        <w:t>Political</w:t>
      </w:r>
      <w:r w:rsidR="3034D972">
        <w:t xml:space="preserve"> candidates, activities</w:t>
      </w:r>
      <w:r>
        <w:t>,</w:t>
      </w:r>
      <w:r w:rsidR="3034D972">
        <w:t xml:space="preserve"> or organizations</w:t>
      </w:r>
    </w:p>
    <w:p w14:paraId="17A96678" w14:textId="77777777" w:rsidR="00B54BCC" w:rsidRDefault="00B54BCC" w:rsidP="00B54BCC">
      <w:pPr>
        <w:pStyle w:val="NormalWeb"/>
        <w:numPr>
          <w:ilvl w:val="0"/>
          <w:numId w:val="8"/>
        </w:numPr>
      </w:pPr>
      <w:r>
        <w:t>T</w:t>
      </w:r>
      <w:r w:rsidRPr="00B54BCC">
        <w:t xml:space="preserve">ravel </w:t>
      </w:r>
      <w:r>
        <w:t>expenses</w:t>
      </w:r>
    </w:p>
    <w:p w14:paraId="3BF4AF7B" w14:textId="69B87D58" w:rsidR="00B54BCC" w:rsidRDefault="00B54BCC">
      <w:pPr>
        <w:pStyle w:val="NormalWeb"/>
        <w:numPr>
          <w:ilvl w:val="0"/>
          <w:numId w:val="8"/>
        </w:numPr>
      </w:pPr>
      <w:r w:rsidRPr="00B54BCC">
        <w:t>Memorials or endowments</w:t>
      </w:r>
      <w:r>
        <w:t xml:space="preserve"> </w:t>
      </w:r>
    </w:p>
    <w:p w14:paraId="46D7C3E5" w14:textId="098C6393" w:rsidR="00B54BCC" w:rsidRPr="00764DC0" w:rsidRDefault="00B54BCC">
      <w:pPr>
        <w:pStyle w:val="NormalWeb"/>
        <w:numPr>
          <w:ilvl w:val="0"/>
          <w:numId w:val="8"/>
        </w:numPr>
        <w:rPr>
          <w:rFonts w:asciiTheme="minorHAnsi" w:hAnsiTheme="minorHAnsi"/>
        </w:rPr>
      </w:pPr>
      <w:r>
        <w:t xml:space="preserve">Any request not meeting </w:t>
      </w:r>
      <w:r w:rsidR="56C51C96">
        <w:t>general eligibility</w:t>
      </w:r>
      <w:r>
        <w:t xml:space="preserve"> criteria</w:t>
      </w:r>
      <w:r w:rsidR="00973F99">
        <w:t xml:space="preserve">, </w:t>
      </w:r>
      <w:r w:rsidR="009014EA">
        <w:t>present</w:t>
      </w:r>
      <w:r w:rsidR="00FF746B">
        <w:t>s</w:t>
      </w:r>
      <w:r w:rsidR="009014EA">
        <w:t xml:space="preserve"> a conflict of interest</w:t>
      </w:r>
      <w:r w:rsidR="00973F99">
        <w:t>, or does not align with our</w:t>
      </w:r>
      <w:r w:rsidR="00AA3E8F">
        <w:t xml:space="preserve"> organization</w:t>
      </w:r>
    </w:p>
    <w:p w14:paraId="5BB1DD9D" w14:textId="77777777" w:rsidR="00D91245" w:rsidRPr="00C17211" w:rsidRDefault="00D91245" w:rsidP="00D91245">
      <w:pPr>
        <w:pStyle w:val="NormalWeb"/>
        <w:rPr>
          <w:rFonts w:asciiTheme="minorHAnsi" w:hAnsiTheme="minorHAnsi"/>
          <w:b/>
          <w:bCs/>
        </w:rPr>
      </w:pPr>
    </w:p>
    <w:p w14:paraId="7DF38FA9" w14:textId="77777777" w:rsidR="00D91245" w:rsidRPr="00D91245" w:rsidRDefault="00D91245" w:rsidP="00D91245">
      <w:pPr>
        <w:pStyle w:val="NormalWeb"/>
        <w:ind w:left="720"/>
      </w:pPr>
    </w:p>
    <w:p w14:paraId="160AC59B" w14:textId="77777777" w:rsidR="00D91245" w:rsidRDefault="00D91245" w:rsidP="00D91245">
      <w:pPr>
        <w:pStyle w:val="NormalWeb"/>
      </w:pPr>
    </w:p>
    <w:p w14:paraId="20B5CB08" w14:textId="77777777" w:rsidR="00FF746B" w:rsidRDefault="00FF746B" w:rsidP="00D91245">
      <w:pPr>
        <w:pStyle w:val="NormalWeb"/>
      </w:pPr>
    </w:p>
    <w:p w14:paraId="4F84C454" w14:textId="77777777" w:rsidR="001D3D5B" w:rsidRDefault="001D3D5B" w:rsidP="00D91245">
      <w:pPr>
        <w:pStyle w:val="NormalWeb"/>
      </w:pPr>
    </w:p>
    <w:p w14:paraId="5CFB0ED6" w14:textId="2CA605AA" w:rsidR="00FF746B" w:rsidRPr="002E7742" w:rsidRDefault="00FF746B" w:rsidP="002E7742">
      <w:pPr>
        <w:pStyle w:val="NormalWeb"/>
        <w:jc w:val="center"/>
        <w:rPr>
          <w:b/>
          <w:bCs/>
        </w:rPr>
      </w:pPr>
      <w:r w:rsidRPr="002E7742">
        <w:rPr>
          <w:b/>
          <w:bCs/>
        </w:rPr>
        <w:t>Social Investment Program Application Checklist</w:t>
      </w:r>
    </w:p>
    <w:p w14:paraId="4FCEA4E7" w14:textId="67C5025C" w:rsidR="00284518" w:rsidRPr="00284518" w:rsidRDefault="00874D59" w:rsidP="00284518">
      <w:pPr>
        <w:pStyle w:val="NormalWeb"/>
      </w:pPr>
      <w:r>
        <w:t xml:space="preserve">All links and documents listed can be found at </w:t>
      </w:r>
      <w:hyperlink r:id="rId11" w:history="1">
        <w:r w:rsidR="00284518" w:rsidRPr="00284518">
          <w:rPr>
            <w:rStyle w:val="Hyperlink"/>
          </w:rPr>
          <w:t>Community Partnerships and Social Investment Programs</w:t>
        </w:r>
      </w:hyperlink>
      <w:r w:rsidR="00284518">
        <w:t xml:space="preserve"> webpage.</w:t>
      </w:r>
    </w:p>
    <w:p w14:paraId="1E6AD013" w14:textId="239A8010" w:rsidR="00FF746B" w:rsidRDefault="00361873" w:rsidP="003B6A23">
      <w:pPr>
        <w:pStyle w:val="NormalWeb"/>
        <w:numPr>
          <w:ilvl w:val="0"/>
          <w:numId w:val="9"/>
        </w:numPr>
        <w:spacing w:before="120" w:beforeAutospacing="0" w:after="120" w:afterAutospacing="0"/>
      </w:pPr>
      <w:r>
        <w:t xml:space="preserve">Completed TGH Health System Social Investment Application </w:t>
      </w:r>
    </w:p>
    <w:p w14:paraId="3617CF84" w14:textId="4260A62E" w:rsidR="00361873" w:rsidRDefault="00D15C9D" w:rsidP="003B6A23">
      <w:pPr>
        <w:pStyle w:val="NormalWeb"/>
        <w:numPr>
          <w:ilvl w:val="1"/>
          <w:numId w:val="9"/>
        </w:numPr>
        <w:spacing w:before="120" w:beforeAutospacing="0" w:after="120" w:afterAutospacing="0"/>
      </w:pPr>
      <w:r>
        <w:t>Include all required documents listed</w:t>
      </w:r>
    </w:p>
    <w:p w14:paraId="33D2594C" w14:textId="1F1E184B" w:rsidR="00D15C9D" w:rsidRPr="009932EF" w:rsidRDefault="00BB27C0" w:rsidP="003B6A23">
      <w:pPr>
        <w:pStyle w:val="NormalWeb"/>
        <w:numPr>
          <w:ilvl w:val="0"/>
          <w:numId w:val="9"/>
        </w:numPr>
        <w:spacing w:before="120" w:beforeAutospacing="0" w:after="120" w:afterAutospacing="0"/>
        <w:rPr>
          <w:i/>
          <w:iCs/>
        </w:rPr>
      </w:pPr>
      <w:r>
        <w:t>Completed TGH New Supplier Application</w:t>
      </w:r>
      <w:r w:rsidR="002A4E3F">
        <w:t xml:space="preserve">. </w:t>
      </w:r>
      <w:r w:rsidR="002A4E3F" w:rsidRPr="009932EF">
        <w:rPr>
          <w:i/>
          <w:iCs/>
        </w:rPr>
        <w:t xml:space="preserve">Please complete and submit this form if you are </w:t>
      </w:r>
    </w:p>
    <w:p w14:paraId="6195545F" w14:textId="311BB9B3" w:rsidR="00BB27C0" w:rsidRDefault="002A4E3F" w:rsidP="003B6A23">
      <w:pPr>
        <w:pStyle w:val="NormalWeb"/>
        <w:numPr>
          <w:ilvl w:val="1"/>
          <w:numId w:val="9"/>
        </w:numPr>
        <w:spacing w:before="120" w:beforeAutospacing="0" w:after="120" w:afterAutospacing="0"/>
      </w:pPr>
      <w:r>
        <w:t xml:space="preserve">A new requestor whose organization </w:t>
      </w:r>
      <w:r w:rsidR="001E4CE5">
        <w:t>has</w:t>
      </w:r>
      <w:r>
        <w:t xml:space="preserve"> not registered as a supplier in our system</w:t>
      </w:r>
    </w:p>
    <w:p w14:paraId="4B5A498F" w14:textId="3C135D69" w:rsidR="002A4E3F" w:rsidRDefault="00EF4CAF" w:rsidP="003B6A23">
      <w:pPr>
        <w:pStyle w:val="NormalWeb"/>
        <w:numPr>
          <w:ilvl w:val="1"/>
          <w:numId w:val="9"/>
        </w:numPr>
        <w:spacing w:before="120" w:beforeAutospacing="0" w:after="120" w:afterAutospacing="0"/>
      </w:pPr>
      <w:r>
        <w:t xml:space="preserve">An organization representative </w:t>
      </w:r>
      <w:r w:rsidR="001E4CE5">
        <w:t>updating organization information, including payment preferences</w:t>
      </w:r>
    </w:p>
    <w:p w14:paraId="0795AFA3" w14:textId="2DC3EBF1" w:rsidR="0006114E" w:rsidRDefault="0006114E" w:rsidP="003B6A23">
      <w:pPr>
        <w:pStyle w:val="NormalWeb"/>
        <w:numPr>
          <w:ilvl w:val="0"/>
          <w:numId w:val="9"/>
        </w:numPr>
        <w:spacing w:before="120" w:beforeAutospacing="0" w:after="120" w:afterAutospacing="0"/>
      </w:pPr>
      <w:r>
        <w:t xml:space="preserve">Impact or Annual report from previous year’s event </w:t>
      </w:r>
    </w:p>
    <w:p w14:paraId="466FD9A9" w14:textId="77777777" w:rsidR="00760541" w:rsidRDefault="00760541" w:rsidP="00760541">
      <w:pPr>
        <w:pStyle w:val="NormalWeb"/>
        <w:spacing w:before="120" w:beforeAutospacing="0" w:after="120" w:afterAutospacing="0"/>
      </w:pPr>
    </w:p>
    <w:p w14:paraId="6966A36A" w14:textId="2D91C479" w:rsidR="00760541" w:rsidRDefault="00760541" w:rsidP="00760541">
      <w:pPr>
        <w:pStyle w:val="NormalWeb"/>
        <w:spacing w:before="120" w:beforeAutospacing="0" w:after="120" w:afterAutospacing="0"/>
      </w:pPr>
      <w:r>
        <w:t xml:space="preserve">If your request is approved, please </w:t>
      </w:r>
      <w:r w:rsidR="002075C3">
        <w:t>note that the following documents and information are requires in order to complete this request:</w:t>
      </w:r>
    </w:p>
    <w:p w14:paraId="303FD1FF" w14:textId="43412B0E" w:rsidR="002075C3" w:rsidRDefault="002075C3" w:rsidP="002075C3">
      <w:pPr>
        <w:pStyle w:val="NormalWeb"/>
        <w:numPr>
          <w:ilvl w:val="0"/>
          <w:numId w:val="11"/>
        </w:numPr>
        <w:spacing w:before="120" w:beforeAutospacing="0" w:after="120" w:afterAutospacing="0"/>
      </w:pPr>
      <w:r>
        <w:t>Invoice</w:t>
      </w:r>
      <w:r w:rsidR="009D24D4">
        <w:t xml:space="preserve">, must include </w:t>
      </w:r>
      <w:r>
        <w:t xml:space="preserve">amount considered a charitable donation </w:t>
      </w:r>
    </w:p>
    <w:p w14:paraId="52246E34" w14:textId="60EE79CE" w:rsidR="002075C3" w:rsidRDefault="002075C3" w:rsidP="002075C3">
      <w:pPr>
        <w:pStyle w:val="NormalWeb"/>
        <w:numPr>
          <w:ilvl w:val="0"/>
          <w:numId w:val="11"/>
        </w:numPr>
        <w:spacing w:before="120" w:beforeAutospacing="0" w:after="120" w:afterAutospacing="0"/>
      </w:pPr>
      <w:r>
        <w:t>Deadlines and details for ALL deliverables, this includes</w:t>
      </w:r>
    </w:p>
    <w:p w14:paraId="187199B1" w14:textId="4DD1D87B" w:rsidR="002075C3" w:rsidRDefault="00F74A86" w:rsidP="002075C3">
      <w:pPr>
        <w:pStyle w:val="NormalWeb"/>
        <w:numPr>
          <w:ilvl w:val="1"/>
          <w:numId w:val="11"/>
        </w:numPr>
        <w:spacing w:before="120" w:beforeAutospacing="0" w:after="120" w:afterAutospacing="0"/>
      </w:pPr>
      <w:r>
        <w:t>Attendees’</w:t>
      </w:r>
      <w:r w:rsidR="002075C3">
        <w:t xml:space="preserve"> names</w:t>
      </w:r>
    </w:p>
    <w:p w14:paraId="64BA4CD7" w14:textId="6293B2F5" w:rsidR="002075C3" w:rsidRDefault="002075C3" w:rsidP="002075C3">
      <w:pPr>
        <w:pStyle w:val="NormalWeb"/>
        <w:numPr>
          <w:ilvl w:val="1"/>
          <w:numId w:val="11"/>
        </w:numPr>
        <w:spacing w:before="120" w:beforeAutospacing="0" w:after="120" w:afterAutospacing="0"/>
      </w:pPr>
      <w:r>
        <w:t>Logos</w:t>
      </w:r>
    </w:p>
    <w:p w14:paraId="199857FC" w14:textId="32C47E33" w:rsidR="002075C3" w:rsidRDefault="002075C3" w:rsidP="002075C3">
      <w:pPr>
        <w:pStyle w:val="NormalWeb"/>
        <w:numPr>
          <w:ilvl w:val="1"/>
          <w:numId w:val="11"/>
        </w:numPr>
        <w:spacing w:before="120" w:beforeAutospacing="0" w:after="120" w:afterAutospacing="0"/>
      </w:pPr>
      <w:r>
        <w:t>Ads</w:t>
      </w:r>
    </w:p>
    <w:p w14:paraId="689F5D92" w14:textId="1FD8777F" w:rsidR="002075C3" w:rsidRDefault="002075C3" w:rsidP="002075C3">
      <w:pPr>
        <w:pStyle w:val="NormalWeb"/>
        <w:numPr>
          <w:ilvl w:val="2"/>
          <w:numId w:val="11"/>
        </w:numPr>
        <w:spacing w:before="120" w:beforeAutospacing="0" w:after="120" w:afterAutospacing="0"/>
      </w:pPr>
      <w:r>
        <w:t>Must include detailed ad specs</w:t>
      </w:r>
    </w:p>
    <w:p w14:paraId="45BC3104" w14:textId="2917AFE4" w:rsidR="002075C3" w:rsidRDefault="009D24D4" w:rsidP="002075C3">
      <w:pPr>
        <w:pStyle w:val="NormalWeb"/>
        <w:numPr>
          <w:ilvl w:val="2"/>
          <w:numId w:val="11"/>
        </w:numPr>
        <w:spacing w:before="120" w:beforeAutospacing="0" w:after="120" w:afterAutospacing="0"/>
      </w:pPr>
      <w:r>
        <w:t>14-day</w:t>
      </w:r>
      <w:r w:rsidR="002075C3">
        <w:t xml:space="preserve"> turnaround time, at minimum</w:t>
      </w:r>
    </w:p>
    <w:p w14:paraId="1D9D0D76" w14:textId="01A68BBC" w:rsidR="00F74A86" w:rsidRDefault="00F74A86" w:rsidP="00F74A86">
      <w:pPr>
        <w:pStyle w:val="NormalWeb"/>
        <w:numPr>
          <w:ilvl w:val="1"/>
          <w:numId w:val="11"/>
        </w:numPr>
        <w:spacing w:before="120" w:beforeAutospacing="0" w:after="120" w:afterAutospacing="0"/>
      </w:pPr>
      <w:r>
        <w:t>Branded items</w:t>
      </w:r>
    </w:p>
    <w:p w14:paraId="7C8E857C" w14:textId="08E9E6AF" w:rsidR="00F74A86" w:rsidRDefault="00F74A86" w:rsidP="00F74A86">
      <w:pPr>
        <w:pStyle w:val="NormalWeb"/>
        <w:numPr>
          <w:ilvl w:val="2"/>
          <w:numId w:val="11"/>
        </w:numPr>
        <w:spacing w:before="120" w:beforeAutospacing="0" w:after="120" w:afterAutospacing="0"/>
      </w:pPr>
      <w:r>
        <w:t>Quantity</w:t>
      </w:r>
    </w:p>
    <w:p w14:paraId="7F40936B" w14:textId="1F21A872" w:rsidR="00F74A86" w:rsidRDefault="009D24D4" w:rsidP="00F74A86">
      <w:pPr>
        <w:pStyle w:val="NormalWeb"/>
        <w:numPr>
          <w:ilvl w:val="2"/>
          <w:numId w:val="11"/>
        </w:numPr>
        <w:spacing w:before="120" w:beforeAutospacing="0" w:after="120" w:afterAutospacing="0"/>
      </w:pPr>
      <w:r>
        <w:t>Pick up or delivery</w:t>
      </w:r>
      <w:r w:rsidR="00CA68BC">
        <w:t xml:space="preserve"> address</w:t>
      </w:r>
    </w:p>
    <w:p w14:paraId="30129794" w14:textId="77777777" w:rsidR="00FF746B" w:rsidRDefault="00FF746B" w:rsidP="00D91245">
      <w:pPr>
        <w:pStyle w:val="NormalWeb"/>
      </w:pPr>
    </w:p>
    <w:p w14:paraId="3F4CE6A7" w14:textId="77777777" w:rsidR="00D91245" w:rsidRPr="00D91245" w:rsidRDefault="00D91245" w:rsidP="00D91245">
      <w:pPr>
        <w:rPr>
          <w:b/>
          <w:bCs/>
          <w:color w:val="0000CC"/>
          <w:sz w:val="32"/>
          <w:szCs w:val="32"/>
        </w:rPr>
      </w:pPr>
    </w:p>
    <w:sectPr w:rsidR="00D91245" w:rsidRPr="00D9124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18EB" w14:textId="77777777" w:rsidR="00BA19B5" w:rsidRDefault="00BA19B5" w:rsidP="007D63BC">
      <w:pPr>
        <w:spacing w:after="0" w:line="240" w:lineRule="auto"/>
      </w:pPr>
      <w:r>
        <w:separator/>
      </w:r>
    </w:p>
  </w:endnote>
  <w:endnote w:type="continuationSeparator" w:id="0">
    <w:p w14:paraId="3031296F" w14:textId="77777777" w:rsidR="00BA19B5" w:rsidRDefault="00BA19B5" w:rsidP="007D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783F" w14:textId="77777777" w:rsidR="00BA19B5" w:rsidRDefault="00BA19B5" w:rsidP="007D63BC">
      <w:pPr>
        <w:spacing w:after="0" w:line="240" w:lineRule="auto"/>
      </w:pPr>
      <w:r>
        <w:separator/>
      </w:r>
    </w:p>
  </w:footnote>
  <w:footnote w:type="continuationSeparator" w:id="0">
    <w:p w14:paraId="126A786C" w14:textId="77777777" w:rsidR="00BA19B5" w:rsidRDefault="00BA19B5" w:rsidP="007D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9B6A" w14:textId="64D31132" w:rsidR="007D63BC" w:rsidRDefault="007D63BC">
    <w:pPr>
      <w:pStyle w:val="Header"/>
    </w:pPr>
    <w:r>
      <w:rPr>
        <w:noProof/>
      </w:rPr>
      <w:drawing>
        <wp:inline distT="0" distB="0" distL="0" distR="0" wp14:anchorId="1047A42D" wp14:editId="2772133D">
          <wp:extent cx="1492898" cy="457200"/>
          <wp:effectExtent l="0" t="0" r="0" b="0"/>
          <wp:docPr id="42943254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32541" name="Picture 1" descr="A blue and white logo&#10;&#10;AI-generated content may be incorrect."/>
                  <pic:cNvPicPr/>
                </pic:nvPicPr>
                <pic:blipFill>
                  <a:blip r:embed="rId1"/>
                  <a:stretch>
                    <a:fillRect/>
                  </a:stretch>
                </pic:blipFill>
                <pic:spPr>
                  <a:xfrm>
                    <a:off x="0" y="0"/>
                    <a:ext cx="149289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5439"/>
    <w:multiLevelType w:val="hybridMultilevel"/>
    <w:tmpl w:val="6A164DD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07B28"/>
    <w:multiLevelType w:val="hybridMultilevel"/>
    <w:tmpl w:val="881E4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24245"/>
    <w:multiLevelType w:val="multilevel"/>
    <w:tmpl w:val="0E566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52B4F"/>
    <w:multiLevelType w:val="multilevel"/>
    <w:tmpl w:val="713CA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C5523"/>
    <w:multiLevelType w:val="hybridMultilevel"/>
    <w:tmpl w:val="D3BA4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32D0"/>
    <w:multiLevelType w:val="hybridMultilevel"/>
    <w:tmpl w:val="6A164DD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A10D33"/>
    <w:multiLevelType w:val="hybridMultilevel"/>
    <w:tmpl w:val="21AAE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3426D"/>
    <w:multiLevelType w:val="hybridMultilevel"/>
    <w:tmpl w:val="26F6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85793"/>
    <w:multiLevelType w:val="hybridMultilevel"/>
    <w:tmpl w:val="D82C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B1AD9"/>
    <w:multiLevelType w:val="hybridMultilevel"/>
    <w:tmpl w:val="7B3E6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04369"/>
    <w:multiLevelType w:val="hybridMultilevel"/>
    <w:tmpl w:val="DF08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597763">
    <w:abstractNumId w:val="3"/>
  </w:num>
  <w:num w:numId="2" w16cid:durableId="233585365">
    <w:abstractNumId w:val="2"/>
  </w:num>
  <w:num w:numId="3" w16cid:durableId="1630042807">
    <w:abstractNumId w:val="4"/>
  </w:num>
  <w:num w:numId="4" w16cid:durableId="634874066">
    <w:abstractNumId w:val="0"/>
  </w:num>
  <w:num w:numId="5" w16cid:durableId="438841513">
    <w:abstractNumId w:val="1"/>
  </w:num>
  <w:num w:numId="6" w16cid:durableId="727731156">
    <w:abstractNumId w:val="8"/>
  </w:num>
  <w:num w:numId="7" w16cid:durableId="629018445">
    <w:abstractNumId w:val="5"/>
  </w:num>
  <w:num w:numId="8" w16cid:durableId="1549996896">
    <w:abstractNumId w:val="10"/>
  </w:num>
  <w:num w:numId="9" w16cid:durableId="853107489">
    <w:abstractNumId w:val="6"/>
  </w:num>
  <w:num w:numId="10" w16cid:durableId="963775183">
    <w:abstractNumId w:val="7"/>
  </w:num>
  <w:num w:numId="11" w16cid:durableId="300574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45"/>
    <w:rsid w:val="000014E1"/>
    <w:rsid w:val="00020C33"/>
    <w:rsid w:val="000321C7"/>
    <w:rsid w:val="00045625"/>
    <w:rsid w:val="0006114E"/>
    <w:rsid w:val="000869AF"/>
    <w:rsid w:val="000B16BC"/>
    <w:rsid w:val="00104EED"/>
    <w:rsid w:val="00133AF2"/>
    <w:rsid w:val="00135808"/>
    <w:rsid w:val="00150F6C"/>
    <w:rsid w:val="00192F8A"/>
    <w:rsid w:val="001A6D10"/>
    <w:rsid w:val="001B5AA2"/>
    <w:rsid w:val="001D0013"/>
    <w:rsid w:val="001D3D5B"/>
    <w:rsid w:val="001E4CE5"/>
    <w:rsid w:val="001F25B9"/>
    <w:rsid w:val="001F49C2"/>
    <w:rsid w:val="002075C3"/>
    <w:rsid w:val="00242767"/>
    <w:rsid w:val="0024544B"/>
    <w:rsid w:val="00260BAD"/>
    <w:rsid w:val="00267CB0"/>
    <w:rsid w:val="00284518"/>
    <w:rsid w:val="00297361"/>
    <w:rsid w:val="002A4E3F"/>
    <w:rsid w:val="002E7742"/>
    <w:rsid w:val="002F3F55"/>
    <w:rsid w:val="00322F60"/>
    <w:rsid w:val="00330184"/>
    <w:rsid w:val="00337313"/>
    <w:rsid w:val="0035569F"/>
    <w:rsid w:val="00361873"/>
    <w:rsid w:val="00373FC8"/>
    <w:rsid w:val="0038602C"/>
    <w:rsid w:val="003974AF"/>
    <w:rsid w:val="003B6A23"/>
    <w:rsid w:val="003D7717"/>
    <w:rsid w:val="003E4453"/>
    <w:rsid w:val="003E7316"/>
    <w:rsid w:val="00407DA7"/>
    <w:rsid w:val="004144B2"/>
    <w:rsid w:val="0045218F"/>
    <w:rsid w:val="00455FC5"/>
    <w:rsid w:val="00492156"/>
    <w:rsid w:val="00494034"/>
    <w:rsid w:val="00494252"/>
    <w:rsid w:val="00494B2E"/>
    <w:rsid w:val="005109F0"/>
    <w:rsid w:val="005153E2"/>
    <w:rsid w:val="00536671"/>
    <w:rsid w:val="005963BD"/>
    <w:rsid w:val="005A299F"/>
    <w:rsid w:val="005A5281"/>
    <w:rsid w:val="005C210F"/>
    <w:rsid w:val="005C3A94"/>
    <w:rsid w:val="005C699E"/>
    <w:rsid w:val="005D03C5"/>
    <w:rsid w:val="005E10CC"/>
    <w:rsid w:val="005E6D70"/>
    <w:rsid w:val="005F748D"/>
    <w:rsid w:val="00602BA7"/>
    <w:rsid w:val="0066213C"/>
    <w:rsid w:val="00685537"/>
    <w:rsid w:val="006B1D98"/>
    <w:rsid w:val="006B3068"/>
    <w:rsid w:val="006F2F86"/>
    <w:rsid w:val="007101EB"/>
    <w:rsid w:val="00720E9C"/>
    <w:rsid w:val="00722E8B"/>
    <w:rsid w:val="007261BD"/>
    <w:rsid w:val="00760541"/>
    <w:rsid w:val="00764DC0"/>
    <w:rsid w:val="007743B9"/>
    <w:rsid w:val="007A54A9"/>
    <w:rsid w:val="007C6F12"/>
    <w:rsid w:val="007D4C7D"/>
    <w:rsid w:val="007D63BC"/>
    <w:rsid w:val="007E1B99"/>
    <w:rsid w:val="007F01A1"/>
    <w:rsid w:val="00820EF9"/>
    <w:rsid w:val="00820F0B"/>
    <w:rsid w:val="00822BF3"/>
    <w:rsid w:val="00874D59"/>
    <w:rsid w:val="008873FD"/>
    <w:rsid w:val="008A0DF9"/>
    <w:rsid w:val="008A1E39"/>
    <w:rsid w:val="009014EA"/>
    <w:rsid w:val="00922CB3"/>
    <w:rsid w:val="00941A6B"/>
    <w:rsid w:val="00955C7D"/>
    <w:rsid w:val="00955FAB"/>
    <w:rsid w:val="00973F99"/>
    <w:rsid w:val="009932EF"/>
    <w:rsid w:val="009956AD"/>
    <w:rsid w:val="00997112"/>
    <w:rsid w:val="009D24D4"/>
    <w:rsid w:val="00A34B6E"/>
    <w:rsid w:val="00A43169"/>
    <w:rsid w:val="00A60E30"/>
    <w:rsid w:val="00A8333D"/>
    <w:rsid w:val="00A979BC"/>
    <w:rsid w:val="00AA13D9"/>
    <w:rsid w:val="00AA2263"/>
    <w:rsid w:val="00AA3E8F"/>
    <w:rsid w:val="00AA5761"/>
    <w:rsid w:val="00AE5BAB"/>
    <w:rsid w:val="00B0569C"/>
    <w:rsid w:val="00B1685E"/>
    <w:rsid w:val="00B25DA7"/>
    <w:rsid w:val="00B325CD"/>
    <w:rsid w:val="00B33399"/>
    <w:rsid w:val="00B54BCC"/>
    <w:rsid w:val="00B617B6"/>
    <w:rsid w:val="00B97C63"/>
    <w:rsid w:val="00BA19B5"/>
    <w:rsid w:val="00BB0212"/>
    <w:rsid w:val="00BB22D4"/>
    <w:rsid w:val="00BB27C0"/>
    <w:rsid w:val="00BD072C"/>
    <w:rsid w:val="00C17211"/>
    <w:rsid w:val="00CA68BC"/>
    <w:rsid w:val="00CB1D04"/>
    <w:rsid w:val="00CC3E86"/>
    <w:rsid w:val="00D05896"/>
    <w:rsid w:val="00D0634F"/>
    <w:rsid w:val="00D135D8"/>
    <w:rsid w:val="00D149EE"/>
    <w:rsid w:val="00D15428"/>
    <w:rsid w:val="00D15C9D"/>
    <w:rsid w:val="00D21A27"/>
    <w:rsid w:val="00D91245"/>
    <w:rsid w:val="00DB0559"/>
    <w:rsid w:val="00DD29DB"/>
    <w:rsid w:val="00DD7DBD"/>
    <w:rsid w:val="00DE07C7"/>
    <w:rsid w:val="00DE540B"/>
    <w:rsid w:val="00E67C39"/>
    <w:rsid w:val="00E86CE0"/>
    <w:rsid w:val="00E8AD1C"/>
    <w:rsid w:val="00E932BB"/>
    <w:rsid w:val="00EA7A30"/>
    <w:rsid w:val="00EC0D23"/>
    <w:rsid w:val="00ED0F1A"/>
    <w:rsid w:val="00ED1700"/>
    <w:rsid w:val="00EF4CAF"/>
    <w:rsid w:val="00F34042"/>
    <w:rsid w:val="00F50F71"/>
    <w:rsid w:val="00F5481E"/>
    <w:rsid w:val="00F560B1"/>
    <w:rsid w:val="00F74A86"/>
    <w:rsid w:val="00F81D36"/>
    <w:rsid w:val="00F87B15"/>
    <w:rsid w:val="00FA0528"/>
    <w:rsid w:val="00FA56D5"/>
    <w:rsid w:val="00FF746B"/>
    <w:rsid w:val="2381C765"/>
    <w:rsid w:val="27442E79"/>
    <w:rsid w:val="3034D972"/>
    <w:rsid w:val="39749E5A"/>
    <w:rsid w:val="3C1EA8A2"/>
    <w:rsid w:val="430A5A15"/>
    <w:rsid w:val="56C51C96"/>
    <w:rsid w:val="686C2B13"/>
    <w:rsid w:val="71EA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D667"/>
  <w15:chartTrackingRefBased/>
  <w15:docId w15:val="{E5BE15D7-11BD-4416-A375-572F498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245"/>
    <w:rPr>
      <w:rFonts w:eastAsiaTheme="majorEastAsia" w:cstheme="majorBidi"/>
      <w:color w:val="272727" w:themeColor="text1" w:themeTint="D8"/>
    </w:rPr>
  </w:style>
  <w:style w:type="paragraph" w:styleId="Title">
    <w:name w:val="Title"/>
    <w:basedOn w:val="Normal"/>
    <w:next w:val="Normal"/>
    <w:link w:val="TitleChar"/>
    <w:uiPriority w:val="10"/>
    <w:qFormat/>
    <w:rsid w:val="00D91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245"/>
    <w:pPr>
      <w:spacing w:before="160"/>
      <w:jc w:val="center"/>
    </w:pPr>
    <w:rPr>
      <w:i/>
      <w:iCs/>
      <w:color w:val="404040" w:themeColor="text1" w:themeTint="BF"/>
    </w:rPr>
  </w:style>
  <w:style w:type="character" w:customStyle="1" w:styleId="QuoteChar">
    <w:name w:val="Quote Char"/>
    <w:basedOn w:val="DefaultParagraphFont"/>
    <w:link w:val="Quote"/>
    <w:uiPriority w:val="29"/>
    <w:rsid w:val="00D91245"/>
    <w:rPr>
      <w:i/>
      <w:iCs/>
      <w:color w:val="404040" w:themeColor="text1" w:themeTint="BF"/>
    </w:rPr>
  </w:style>
  <w:style w:type="paragraph" w:styleId="ListParagraph">
    <w:name w:val="List Paragraph"/>
    <w:basedOn w:val="Normal"/>
    <w:uiPriority w:val="34"/>
    <w:qFormat/>
    <w:rsid w:val="00D91245"/>
    <w:pPr>
      <w:ind w:left="720"/>
      <w:contextualSpacing/>
    </w:pPr>
  </w:style>
  <w:style w:type="character" w:styleId="IntenseEmphasis">
    <w:name w:val="Intense Emphasis"/>
    <w:basedOn w:val="DefaultParagraphFont"/>
    <w:uiPriority w:val="21"/>
    <w:qFormat/>
    <w:rsid w:val="00D91245"/>
    <w:rPr>
      <w:i/>
      <w:iCs/>
      <w:color w:val="0F4761" w:themeColor="accent1" w:themeShade="BF"/>
    </w:rPr>
  </w:style>
  <w:style w:type="paragraph" w:styleId="IntenseQuote">
    <w:name w:val="Intense Quote"/>
    <w:basedOn w:val="Normal"/>
    <w:next w:val="Normal"/>
    <w:link w:val="IntenseQuoteChar"/>
    <w:uiPriority w:val="30"/>
    <w:qFormat/>
    <w:rsid w:val="00D91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245"/>
    <w:rPr>
      <w:i/>
      <w:iCs/>
      <w:color w:val="0F4761" w:themeColor="accent1" w:themeShade="BF"/>
    </w:rPr>
  </w:style>
  <w:style w:type="character" w:styleId="IntenseReference">
    <w:name w:val="Intense Reference"/>
    <w:basedOn w:val="DefaultParagraphFont"/>
    <w:uiPriority w:val="32"/>
    <w:qFormat/>
    <w:rsid w:val="00D91245"/>
    <w:rPr>
      <w:b/>
      <w:bCs/>
      <w:smallCaps/>
      <w:color w:val="0F4761" w:themeColor="accent1" w:themeShade="BF"/>
      <w:spacing w:val="5"/>
    </w:rPr>
  </w:style>
  <w:style w:type="paragraph" w:styleId="NormalWeb">
    <w:name w:val="Normal (Web)"/>
    <w:basedOn w:val="Normal"/>
    <w:uiPriority w:val="99"/>
    <w:unhideWhenUsed/>
    <w:rsid w:val="00D91245"/>
    <w:pPr>
      <w:spacing w:before="100" w:beforeAutospacing="1" w:after="100" w:afterAutospacing="1" w:line="240" w:lineRule="auto"/>
    </w:pPr>
    <w:rPr>
      <w:rFonts w:ascii="Aptos" w:hAnsi="Aptos" w:cs="Aptos"/>
      <w:kern w:val="0"/>
      <w14:ligatures w14:val="none"/>
    </w:rPr>
  </w:style>
  <w:style w:type="paragraph" w:customStyle="1" w:styleId="Default">
    <w:name w:val="Default"/>
    <w:rsid w:val="00C17211"/>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A34B6E"/>
    <w:rPr>
      <w:color w:val="467886" w:themeColor="hyperlink"/>
      <w:u w:val="single"/>
    </w:rPr>
  </w:style>
  <w:style w:type="character" w:styleId="UnresolvedMention">
    <w:name w:val="Unresolved Mention"/>
    <w:basedOn w:val="DefaultParagraphFont"/>
    <w:uiPriority w:val="99"/>
    <w:semiHidden/>
    <w:unhideWhenUsed/>
    <w:rsid w:val="00A34B6E"/>
    <w:rPr>
      <w:color w:val="605E5C"/>
      <w:shd w:val="clear" w:color="auto" w:fill="E1DFDD"/>
    </w:rPr>
  </w:style>
  <w:style w:type="paragraph" w:styleId="Header">
    <w:name w:val="header"/>
    <w:basedOn w:val="Normal"/>
    <w:link w:val="HeaderChar"/>
    <w:uiPriority w:val="99"/>
    <w:unhideWhenUsed/>
    <w:rsid w:val="007D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3BC"/>
  </w:style>
  <w:style w:type="paragraph" w:styleId="Footer">
    <w:name w:val="footer"/>
    <w:basedOn w:val="Normal"/>
    <w:link w:val="FooterChar"/>
    <w:uiPriority w:val="99"/>
    <w:unhideWhenUsed/>
    <w:rsid w:val="007D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1542">
      <w:bodyDiv w:val="1"/>
      <w:marLeft w:val="0"/>
      <w:marRight w:val="0"/>
      <w:marTop w:val="0"/>
      <w:marBottom w:val="0"/>
      <w:divBdr>
        <w:top w:val="none" w:sz="0" w:space="0" w:color="auto"/>
        <w:left w:val="none" w:sz="0" w:space="0" w:color="auto"/>
        <w:bottom w:val="none" w:sz="0" w:space="0" w:color="auto"/>
        <w:right w:val="none" w:sz="0" w:space="0" w:color="auto"/>
      </w:divBdr>
    </w:div>
    <w:div w:id="682435531">
      <w:bodyDiv w:val="1"/>
      <w:marLeft w:val="0"/>
      <w:marRight w:val="0"/>
      <w:marTop w:val="0"/>
      <w:marBottom w:val="0"/>
      <w:divBdr>
        <w:top w:val="none" w:sz="0" w:space="0" w:color="auto"/>
        <w:left w:val="none" w:sz="0" w:space="0" w:color="auto"/>
        <w:bottom w:val="none" w:sz="0" w:space="0" w:color="auto"/>
        <w:right w:val="none" w:sz="0" w:space="0" w:color="auto"/>
      </w:divBdr>
    </w:div>
    <w:div w:id="827677171">
      <w:bodyDiv w:val="1"/>
      <w:marLeft w:val="0"/>
      <w:marRight w:val="0"/>
      <w:marTop w:val="0"/>
      <w:marBottom w:val="0"/>
      <w:divBdr>
        <w:top w:val="none" w:sz="0" w:space="0" w:color="auto"/>
        <w:left w:val="none" w:sz="0" w:space="0" w:color="auto"/>
        <w:bottom w:val="none" w:sz="0" w:space="0" w:color="auto"/>
        <w:right w:val="none" w:sz="0" w:space="0" w:color="auto"/>
      </w:divBdr>
    </w:div>
    <w:div w:id="918949389">
      <w:bodyDiv w:val="1"/>
      <w:marLeft w:val="0"/>
      <w:marRight w:val="0"/>
      <w:marTop w:val="0"/>
      <w:marBottom w:val="0"/>
      <w:divBdr>
        <w:top w:val="none" w:sz="0" w:space="0" w:color="auto"/>
        <w:left w:val="none" w:sz="0" w:space="0" w:color="auto"/>
        <w:bottom w:val="none" w:sz="0" w:space="0" w:color="auto"/>
        <w:right w:val="none" w:sz="0" w:space="0" w:color="auto"/>
      </w:divBdr>
    </w:div>
    <w:div w:id="1706830259">
      <w:bodyDiv w:val="1"/>
      <w:marLeft w:val="0"/>
      <w:marRight w:val="0"/>
      <w:marTop w:val="0"/>
      <w:marBottom w:val="0"/>
      <w:divBdr>
        <w:top w:val="none" w:sz="0" w:space="0" w:color="auto"/>
        <w:left w:val="none" w:sz="0" w:space="0" w:color="auto"/>
        <w:bottom w:val="none" w:sz="0" w:space="0" w:color="auto"/>
        <w:right w:val="none" w:sz="0" w:space="0" w:color="auto"/>
      </w:divBdr>
    </w:div>
    <w:div w:id="1861897142">
      <w:bodyDiv w:val="1"/>
      <w:marLeft w:val="0"/>
      <w:marRight w:val="0"/>
      <w:marTop w:val="0"/>
      <w:marBottom w:val="0"/>
      <w:divBdr>
        <w:top w:val="none" w:sz="0" w:space="0" w:color="auto"/>
        <w:left w:val="none" w:sz="0" w:space="0" w:color="auto"/>
        <w:bottom w:val="none" w:sz="0" w:space="0" w:color="auto"/>
        <w:right w:val="none" w:sz="0" w:space="0" w:color="auto"/>
      </w:divBdr>
    </w:div>
    <w:div w:id="19942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h.org/about-tgh/community-health-and-wellness/community-partnerships-and-social-investment-programs" TargetMode="External"/><Relationship Id="rId5" Type="http://schemas.openxmlformats.org/officeDocument/2006/relationships/styles" Target="styles.xml"/><Relationship Id="rId10" Type="http://schemas.openxmlformats.org/officeDocument/2006/relationships/hyperlink" Target="https://www.surveymonkey.com/r/socinv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E9FDBD7B6F742AD17B1B209A0EFBC" ma:contentTypeVersion="18" ma:contentTypeDescription="Create a new document." ma:contentTypeScope="" ma:versionID="4ee0c33da6113006e493073af3982543">
  <xsd:schema xmlns:xsd="http://www.w3.org/2001/XMLSchema" xmlns:xs="http://www.w3.org/2001/XMLSchema" xmlns:p="http://schemas.microsoft.com/office/2006/metadata/properties" xmlns:ns1="http://schemas.microsoft.com/sharepoint/v3" xmlns:ns2="fd1f5f86-83b1-48cc-8b8f-931689b127c3" xmlns:ns3="8313d032-7ab3-4e5e-ab74-73619309c4f8" targetNamespace="http://schemas.microsoft.com/office/2006/metadata/properties" ma:root="true" ma:fieldsID="7ac3b75e178c18702097889ef876c92d" ns1:_="" ns2:_="" ns3:_="">
    <xsd:import namespace="http://schemas.microsoft.com/sharepoint/v3"/>
    <xsd:import namespace="fd1f5f86-83b1-48cc-8b8f-931689b127c3"/>
    <xsd:import namespace="8313d032-7ab3-4e5e-ab74-73619309c4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f5f86-83b1-48cc-8b8f-931689b12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196794-ecc2-4dd1-bfb5-df85b8eca6b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3d032-7ab3-4e5e-ab74-73619309c4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686719-aa68-403e-b244-7e4094c96651}" ma:internalName="TaxCatchAll" ma:showField="CatchAllData" ma:web="8313d032-7ab3-4e5e-ab74-73619309c4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1f5f86-83b1-48cc-8b8f-931689b127c3">
      <Terms xmlns="http://schemas.microsoft.com/office/infopath/2007/PartnerControls"/>
    </lcf76f155ced4ddcb4097134ff3c332f>
    <_ip_UnifiedCompliancePolicyProperties xmlns="http://schemas.microsoft.com/sharepoint/v3" xsi:nil="true"/>
    <TaxCatchAll xmlns="8313d032-7ab3-4e5e-ab74-73619309c4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A774E-A256-488E-B809-947EB683A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f5f86-83b1-48cc-8b8f-931689b127c3"/>
    <ds:schemaRef ds:uri="8313d032-7ab3-4e5e-ab74-73619309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2DAD-79F5-4B02-B972-88419ADEE1B5}">
  <ds:schemaRefs>
    <ds:schemaRef ds:uri="http://schemas.microsoft.com/office/2006/metadata/properties"/>
    <ds:schemaRef ds:uri="http://schemas.microsoft.com/office/infopath/2007/PartnerControls"/>
    <ds:schemaRef ds:uri="http://schemas.microsoft.com/sharepoint/v3"/>
    <ds:schemaRef ds:uri="fd1f5f86-83b1-48cc-8b8f-931689b127c3"/>
    <ds:schemaRef ds:uri="8313d032-7ab3-4e5e-ab74-73619309c4f8"/>
  </ds:schemaRefs>
</ds:datastoreItem>
</file>

<file path=customXml/itemProps3.xml><?xml version="1.0" encoding="utf-8"?>
<ds:datastoreItem xmlns:ds="http://schemas.openxmlformats.org/officeDocument/2006/customXml" ds:itemID="{C81A83D2-FBA5-4CE8-8BDB-6E28D1035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993</Words>
  <Characters>5662</Characters>
  <Application>Microsoft Office Word</Application>
  <DocSecurity>4</DocSecurity>
  <Lines>47</Lines>
  <Paragraphs>13</Paragraphs>
  <ScaleCrop>false</ScaleCrop>
  <Company/>
  <LinksUpToDate>false</LinksUpToDate>
  <CharactersWithSpaces>6642</CharactersWithSpaces>
  <SharedDoc>false</SharedDoc>
  <HLinks>
    <vt:vector size="12" baseType="variant">
      <vt:variant>
        <vt:i4>5046282</vt:i4>
      </vt:variant>
      <vt:variant>
        <vt:i4>3</vt:i4>
      </vt:variant>
      <vt:variant>
        <vt:i4>0</vt:i4>
      </vt:variant>
      <vt:variant>
        <vt:i4>5</vt:i4>
      </vt:variant>
      <vt:variant>
        <vt:lpwstr>https://www.tgh.org/about-tgh/community-health-and-wellness/community-partnerships-and-social-investment-programs</vt:lpwstr>
      </vt:variant>
      <vt:variant>
        <vt:lpwstr/>
      </vt:variant>
      <vt:variant>
        <vt:i4>6029315</vt:i4>
      </vt:variant>
      <vt:variant>
        <vt:i4>0</vt:i4>
      </vt:variant>
      <vt:variant>
        <vt:i4>0</vt:i4>
      </vt:variant>
      <vt:variant>
        <vt:i4>5</vt:i4>
      </vt:variant>
      <vt:variant>
        <vt:lpwstr>https://www.surveymonkey.com/r/socinvapp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 Tamika</dc:creator>
  <cp:keywords/>
  <dc:description/>
  <cp:lastModifiedBy>Powe, Tamika</cp:lastModifiedBy>
  <cp:revision>87</cp:revision>
  <dcterms:created xsi:type="dcterms:W3CDTF">2025-06-16T06:58:00Z</dcterms:created>
  <dcterms:modified xsi:type="dcterms:W3CDTF">2026-03-18T16:30:00Z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0x0101007E1E9FDBD7B6F742AD17B1B209A0EFBC</vt:lpwstr>
  </property>
  <property fmtid="{D5CDD505-2E9C-101B-9397-08002B2CF9AE}" pid="3" name="MediaServiceImageTags">
    <vt:lpwstr/>
  </property>
  <property fmtid="{D5CDD505-2E9C-101B-9397-08002B2CF9AE}" pid="4" name="docLang">
    <vt:lpwstr>en</vt:lpwstr>
  </property>
</Properties>
</file>